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6D" w:rsidRPr="00F310D2" w:rsidRDefault="0043556D" w:rsidP="000C4224">
      <w:pPr>
        <w:widowControl w:val="0"/>
        <w:autoSpaceDE w:val="0"/>
        <w:autoSpaceDN w:val="0"/>
        <w:adjustRightInd w:val="0"/>
        <w:spacing w:after="120"/>
        <w:rPr>
          <w:rFonts w:ascii="Arial" w:hAnsi="Arial" w:cs="Arial"/>
          <w:b/>
          <w:bCs/>
          <w:color w:val="000000"/>
          <w:sz w:val="22"/>
          <w:szCs w:val="22"/>
          <w:u w:val="single"/>
        </w:rPr>
      </w:pPr>
      <w:r w:rsidRPr="00F310D2">
        <w:rPr>
          <w:rFonts w:ascii="Arial" w:hAnsi="Arial" w:cs="Arial"/>
          <w:b/>
          <w:bCs/>
          <w:color w:val="000000"/>
          <w:sz w:val="22"/>
          <w:szCs w:val="22"/>
          <w:u w:val="single"/>
        </w:rPr>
        <w:t>ORGANISATIONAL DEVELOPMENT AND CORPORATE SERVICES DIRECTORATE</w:t>
      </w:r>
    </w:p>
    <w:p w:rsidR="0043556D" w:rsidRPr="00F310D2" w:rsidRDefault="0043556D" w:rsidP="0043556D">
      <w:pPr>
        <w:widowControl w:val="0"/>
        <w:autoSpaceDE w:val="0"/>
        <w:autoSpaceDN w:val="0"/>
        <w:adjustRightInd w:val="0"/>
        <w:spacing w:after="120"/>
        <w:rPr>
          <w:rFonts w:ascii="Arial" w:hAnsi="Arial" w:cs="Arial"/>
          <w:b/>
          <w:bCs/>
          <w:color w:val="000000"/>
          <w:sz w:val="22"/>
          <w:szCs w:val="22"/>
          <w:u w:val="single"/>
        </w:rPr>
      </w:pPr>
    </w:p>
    <w:p w:rsidR="0043556D" w:rsidRPr="00F310D2" w:rsidRDefault="0043556D" w:rsidP="0043556D">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1.</w:t>
      </w:r>
      <w:r w:rsidRPr="00F310D2">
        <w:rPr>
          <w:rFonts w:ascii="Arial" w:hAnsi="Arial" w:cs="Arial"/>
          <w:b/>
          <w:bCs/>
          <w:color w:val="000000"/>
          <w:sz w:val="22"/>
          <w:szCs w:val="22"/>
        </w:rPr>
        <w:tab/>
      </w:r>
      <w:r w:rsidRPr="00F310D2">
        <w:rPr>
          <w:rFonts w:ascii="Arial" w:hAnsi="Arial" w:cs="Arial"/>
          <w:b/>
          <w:bCs/>
          <w:color w:val="000000"/>
          <w:sz w:val="22"/>
          <w:szCs w:val="22"/>
          <w:u w:val="single"/>
        </w:rPr>
        <w:t>Directorate Overview</w:t>
      </w:r>
    </w:p>
    <w:p w:rsidR="0043556D" w:rsidRPr="00F310D2" w:rsidRDefault="0043556D" w:rsidP="0043556D">
      <w:pPr>
        <w:numPr>
          <w:ilvl w:val="1"/>
          <w:numId w:val="1"/>
        </w:numPr>
        <w:rPr>
          <w:rFonts w:ascii="Arial" w:hAnsi="Arial" w:cs="Arial"/>
          <w:bCs/>
          <w:sz w:val="22"/>
          <w:szCs w:val="22"/>
        </w:rPr>
      </w:pPr>
      <w:r w:rsidRPr="00F310D2">
        <w:rPr>
          <w:rFonts w:ascii="Arial" w:hAnsi="Arial" w:cs="Arial"/>
          <w:bCs/>
          <w:sz w:val="22"/>
          <w:szCs w:val="22"/>
        </w:rPr>
        <w:t xml:space="preserve">Financial performance within Organisational Development and Corporate Services is </w:t>
      </w:r>
      <w:r>
        <w:rPr>
          <w:rFonts w:ascii="Arial" w:hAnsi="Arial" w:cs="Arial"/>
          <w:bCs/>
          <w:sz w:val="22"/>
          <w:szCs w:val="22"/>
        </w:rPr>
        <w:t xml:space="preserve">projected </w:t>
      </w:r>
      <w:r w:rsidR="00A330AA">
        <w:rPr>
          <w:rFonts w:ascii="Arial" w:hAnsi="Arial" w:cs="Arial"/>
          <w:bCs/>
          <w:sz w:val="22"/>
          <w:szCs w:val="22"/>
        </w:rPr>
        <w:t>to be £0.040 million favourable.</w:t>
      </w:r>
    </w:p>
    <w:p w:rsidR="0043556D" w:rsidRPr="00BA5F49" w:rsidRDefault="0043556D" w:rsidP="0043556D">
      <w:pPr>
        <w:ind w:left="644"/>
        <w:rPr>
          <w:rFonts w:ascii="Arial" w:hAnsi="Arial" w:cs="Arial"/>
          <w:bCs/>
          <w:sz w:val="22"/>
          <w:szCs w:val="22"/>
        </w:rPr>
      </w:pPr>
    </w:p>
    <w:p w:rsidR="004148B8" w:rsidRPr="00BA5F49" w:rsidRDefault="0043556D" w:rsidP="0043556D">
      <w:pPr>
        <w:numPr>
          <w:ilvl w:val="1"/>
          <w:numId w:val="1"/>
        </w:numPr>
        <w:rPr>
          <w:rFonts w:ascii="Arial" w:hAnsi="Arial" w:cs="Arial"/>
          <w:bCs/>
          <w:sz w:val="22"/>
          <w:szCs w:val="22"/>
        </w:rPr>
      </w:pPr>
      <w:r w:rsidRPr="00BA5F49">
        <w:rPr>
          <w:rFonts w:ascii="Arial" w:hAnsi="Arial" w:cs="Arial"/>
          <w:bCs/>
          <w:sz w:val="22"/>
          <w:szCs w:val="22"/>
        </w:rPr>
        <w:t xml:space="preserve">For the Directorate as a whole </w:t>
      </w:r>
      <w:r w:rsidR="00243D1B" w:rsidRPr="00BA5F49">
        <w:rPr>
          <w:rFonts w:ascii="Arial" w:hAnsi="Arial" w:cs="Arial"/>
          <w:bCs/>
          <w:sz w:val="22"/>
          <w:szCs w:val="22"/>
        </w:rPr>
        <w:t>10</w:t>
      </w:r>
      <w:r w:rsidRPr="00BA5F49">
        <w:rPr>
          <w:rFonts w:ascii="Arial" w:hAnsi="Arial" w:cs="Arial"/>
          <w:bCs/>
          <w:sz w:val="22"/>
          <w:szCs w:val="22"/>
        </w:rPr>
        <w:t xml:space="preserve"> (</w:t>
      </w:r>
      <w:r w:rsidR="00243D1B" w:rsidRPr="00BA5F49">
        <w:rPr>
          <w:rFonts w:ascii="Arial" w:hAnsi="Arial" w:cs="Arial"/>
          <w:bCs/>
          <w:sz w:val="22"/>
          <w:szCs w:val="22"/>
        </w:rPr>
        <w:t>5</w:t>
      </w:r>
      <w:r w:rsidR="00BA5F49" w:rsidRPr="00BA5F49">
        <w:rPr>
          <w:rFonts w:ascii="Arial" w:hAnsi="Arial" w:cs="Arial"/>
          <w:bCs/>
          <w:sz w:val="22"/>
          <w:szCs w:val="22"/>
        </w:rPr>
        <w:t>5</w:t>
      </w:r>
      <w:r w:rsidRPr="00BA5F49">
        <w:rPr>
          <w:rFonts w:ascii="Arial" w:hAnsi="Arial" w:cs="Arial"/>
          <w:bCs/>
          <w:sz w:val="22"/>
          <w:szCs w:val="22"/>
        </w:rPr>
        <w:t>%) performan</w:t>
      </w:r>
      <w:r w:rsidR="00BA5F49" w:rsidRPr="00BA5F49">
        <w:rPr>
          <w:rFonts w:ascii="Arial" w:hAnsi="Arial" w:cs="Arial"/>
          <w:bCs/>
          <w:sz w:val="22"/>
          <w:szCs w:val="22"/>
        </w:rPr>
        <w:t>ce measures are on target with 3</w:t>
      </w:r>
      <w:r w:rsidRPr="00BA5F49">
        <w:rPr>
          <w:rFonts w:ascii="Arial" w:hAnsi="Arial" w:cs="Arial"/>
          <w:bCs/>
          <w:sz w:val="22"/>
          <w:szCs w:val="22"/>
        </w:rPr>
        <w:t xml:space="preserve"> (</w:t>
      </w:r>
      <w:r w:rsidR="00BA5F49" w:rsidRPr="00BA5F49">
        <w:rPr>
          <w:rFonts w:ascii="Arial" w:hAnsi="Arial" w:cs="Arial"/>
          <w:bCs/>
          <w:sz w:val="22"/>
          <w:szCs w:val="22"/>
        </w:rPr>
        <w:t>17</w:t>
      </w:r>
      <w:r w:rsidRPr="00BA5F49">
        <w:rPr>
          <w:rFonts w:ascii="Arial" w:hAnsi="Arial" w:cs="Arial"/>
          <w:bCs/>
          <w:sz w:val="22"/>
          <w:szCs w:val="22"/>
        </w:rPr>
        <w:t xml:space="preserve">%) below target but within tolerance limits and </w:t>
      </w:r>
      <w:r w:rsidR="00BA5F49" w:rsidRPr="00BA5F49">
        <w:rPr>
          <w:rFonts w:ascii="Arial" w:hAnsi="Arial" w:cs="Arial"/>
          <w:bCs/>
          <w:sz w:val="22"/>
          <w:szCs w:val="22"/>
        </w:rPr>
        <w:t>5</w:t>
      </w:r>
      <w:r w:rsidRPr="00BA5F49">
        <w:rPr>
          <w:rFonts w:ascii="Arial" w:hAnsi="Arial" w:cs="Arial"/>
          <w:bCs/>
          <w:sz w:val="22"/>
          <w:szCs w:val="22"/>
        </w:rPr>
        <w:t xml:space="preserve"> (</w:t>
      </w:r>
      <w:r w:rsidR="00BA5F49" w:rsidRPr="00BA5F49">
        <w:rPr>
          <w:rFonts w:ascii="Arial" w:hAnsi="Arial" w:cs="Arial"/>
          <w:bCs/>
          <w:sz w:val="22"/>
          <w:szCs w:val="22"/>
        </w:rPr>
        <w:t>28</w:t>
      </w:r>
      <w:r w:rsidRPr="00BA5F49">
        <w:rPr>
          <w:rFonts w:ascii="Arial" w:hAnsi="Arial" w:cs="Arial"/>
          <w:bCs/>
          <w:sz w:val="22"/>
          <w:szCs w:val="22"/>
        </w:rPr>
        <w:t xml:space="preserve">%) off target. </w:t>
      </w:r>
    </w:p>
    <w:p w:rsidR="004148B8" w:rsidRDefault="004148B8" w:rsidP="004148B8">
      <w:pPr>
        <w:pStyle w:val="ListParagraph"/>
        <w:rPr>
          <w:rFonts w:ascii="Arial" w:hAnsi="Arial" w:cs="Arial"/>
          <w:bCs/>
          <w:sz w:val="22"/>
          <w:szCs w:val="22"/>
        </w:rPr>
      </w:pPr>
    </w:p>
    <w:p w:rsidR="0043556D" w:rsidRPr="00F310D2" w:rsidRDefault="0043556D" w:rsidP="0043556D">
      <w:pPr>
        <w:numPr>
          <w:ilvl w:val="1"/>
          <w:numId w:val="1"/>
        </w:numPr>
        <w:rPr>
          <w:rFonts w:ascii="Arial" w:hAnsi="Arial" w:cs="Arial"/>
          <w:bCs/>
          <w:sz w:val="22"/>
          <w:szCs w:val="22"/>
        </w:rPr>
      </w:pPr>
      <w:r w:rsidRPr="00CE5763">
        <w:rPr>
          <w:rFonts w:ascii="Arial" w:hAnsi="Arial" w:cs="Arial"/>
          <w:bCs/>
          <w:sz w:val="22"/>
          <w:szCs w:val="22"/>
        </w:rPr>
        <w:t>Risk man</w:t>
      </w:r>
      <w:r w:rsidR="00A330AA">
        <w:rPr>
          <w:rFonts w:ascii="Arial" w:hAnsi="Arial" w:cs="Arial"/>
          <w:bCs/>
          <w:sz w:val="22"/>
          <w:szCs w:val="22"/>
        </w:rPr>
        <w:t>agement is currently reporting no red risks and ten amber risks within the Directorate</w:t>
      </w:r>
      <w:r w:rsidRPr="00F310D2">
        <w:rPr>
          <w:rFonts w:ascii="Arial" w:hAnsi="Arial" w:cs="Arial"/>
          <w:bCs/>
          <w:sz w:val="22"/>
          <w:szCs w:val="22"/>
        </w:rPr>
        <w:t>.</w:t>
      </w:r>
    </w:p>
    <w:p w:rsidR="0043556D" w:rsidRPr="00F310D2" w:rsidRDefault="0043556D" w:rsidP="0043556D">
      <w:pPr>
        <w:tabs>
          <w:tab w:val="left" w:pos="945"/>
        </w:tabs>
        <w:rPr>
          <w:rFonts w:ascii="Arial" w:hAnsi="Arial" w:cs="Arial"/>
          <w:bCs/>
          <w:sz w:val="22"/>
          <w:szCs w:val="22"/>
        </w:rPr>
      </w:pPr>
      <w:r w:rsidRPr="00F310D2">
        <w:rPr>
          <w:rFonts w:ascii="Arial" w:hAnsi="Arial" w:cs="Arial"/>
          <w:bCs/>
          <w:sz w:val="22"/>
          <w:szCs w:val="22"/>
        </w:rPr>
        <w:tab/>
      </w:r>
    </w:p>
    <w:p w:rsidR="0043556D" w:rsidRPr="00F310D2" w:rsidRDefault="0043556D" w:rsidP="0043556D">
      <w:pPr>
        <w:ind w:left="709" w:hanging="425"/>
        <w:rPr>
          <w:rFonts w:ascii="Arial" w:hAnsi="Arial" w:cs="Arial"/>
          <w:b/>
          <w:bCs/>
          <w:sz w:val="22"/>
          <w:szCs w:val="22"/>
        </w:rPr>
      </w:pPr>
      <w:r w:rsidRPr="00F310D2">
        <w:rPr>
          <w:rFonts w:ascii="Arial" w:hAnsi="Arial" w:cs="Arial"/>
          <w:b/>
          <w:bCs/>
          <w:sz w:val="22"/>
          <w:szCs w:val="22"/>
        </w:rPr>
        <w:t>2</w:t>
      </w:r>
      <w:r w:rsidRPr="00F310D2">
        <w:rPr>
          <w:rFonts w:ascii="Arial" w:hAnsi="Arial" w:cs="Arial"/>
          <w:b/>
          <w:bCs/>
          <w:sz w:val="22"/>
          <w:szCs w:val="22"/>
        </w:rPr>
        <w:tab/>
      </w:r>
      <w:r w:rsidRPr="00F310D2">
        <w:rPr>
          <w:rFonts w:ascii="Arial" w:hAnsi="Arial" w:cs="Arial"/>
          <w:b/>
          <w:bCs/>
          <w:sz w:val="22"/>
          <w:szCs w:val="22"/>
          <w:u w:val="single"/>
        </w:rPr>
        <w:t>Directorate Financial Performance</w:t>
      </w:r>
    </w:p>
    <w:p w:rsidR="0043556D" w:rsidRPr="00F310D2" w:rsidRDefault="0043556D" w:rsidP="0043556D">
      <w:pPr>
        <w:widowControl w:val="0"/>
        <w:autoSpaceDE w:val="0"/>
        <w:autoSpaceDN w:val="0"/>
        <w:adjustRightInd w:val="0"/>
        <w:rPr>
          <w:rFonts w:ascii="Arial" w:hAnsi="Arial" w:cs="Arial"/>
          <w:bCs/>
          <w:color w:val="000000"/>
          <w:sz w:val="22"/>
          <w:szCs w:val="22"/>
        </w:rPr>
      </w:pPr>
    </w:p>
    <w:p w:rsidR="0043556D" w:rsidRPr="00F310D2" w:rsidRDefault="0043556D" w:rsidP="0043556D">
      <w:pPr>
        <w:widowControl w:val="0"/>
        <w:autoSpaceDE w:val="0"/>
        <w:autoSpaceDN w:val="0"/>
        <w:adjustRightInd w:val="0"/>
        <w:ind w:left="720" w:hanging="436"/>
        <w:rPr>
          <w:rFonts w:ascii="Arial" w:hAnsi="Arial" w:cs="Arial"/>
          <w:bCs/>
          <w:color w:val="000000"/>
          <w:sz w:val="22"/>
          <w:szCs w:val="22"/>
        </w:rPr>
      </w:pPr>
      <w:r w:rsidRPr="00F310D2">
        <w:rPr>
          <w:rFonts w:ascii="Arial" w:hAnsi="Arial" w:cs="Arial"/>
          <w:bCs/>
          <w:color w:val="000000"/>
          <w:sz w:val="22"/>
          <w:szCs w:val="22"/>
        </w:rPr>
        <w:t>2.1</w:t>
      </w:r>
      <w:r w:rsidRPr="00F310D2">
        <w:rPr>
          <w:rFonts w:ascii="Arial" w:hAnsi="Arial" w:cs="Arial"/>
          <w:bCs/>
          <w:color w:val="000000"/>
          <w:sz w:val="22"/>
          <w:szCs w:val="22"/>
        </w:rPr>
        <w:tab/>
        <w:t xml:space="preserve">The Directorate is currently estimated to have a projected outturn position of </w:t>
      </w:r>
      <w:r w:rsidR="00A330AA">
        <w:rPr>
          <w:rFonts w:ascii="Arial" w:hAnsi="Arial" w:cs="Arial"/>
          <w:bCs/>
          <w:color w:val="000000"/>
          <w:sz w:val="22"/>
          <w:szCs w:val="22"/>
        </w:rPr>
        <w:t>£15.393 million against a budget of £15.433 showing a favourable variance of £0.040 million.</w:t>
      </w:r>
    </w:p>
    <w:p w:rsidR="0043556D" w:rsidRDefault="0043556D" w:rsidP="0043556D">
      <w:pPr>
        <w:widowControl w:val="0"/>
        <w:autoSpaceDE w:val="0"/>
        <w:autoSpaceDN w:val="0"/>
        <w:adjustRightInd w:val="0"/>
        <w:ind w:left="720" w:hanging="11"/>
        <w:rPr>
          <w:rFonts w:ascii="Arial" w:hAnsi="Arial" w:cs="Arial"/>
          <w:bCs/>
          <w:color w:val="000000"/>
          <w:sz w:val="22"/>
          <w:szCs w:val="22"/>
        </w:rPr>
      </w:pPr>
    </w:p>
    <w:p w:rsidR="0043556D" w:rsidRPr="005944E5" w:rsidRDefault="0043556D" w:rsidP="0043556D">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Law and Governance</w:t>
      </w:r>
    </w:p>
    <w:p w:rsidR="0043556D" w:rsidRPr="00F310D2" w:rsidRDefault="00A330AA" w:rsidP="0043556D">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2.2</w:t>
      </w:r>
      <w:r w:rsidR="0043556D" w:rsidRPr="00F310D2">
        <w:rPr>
          <w:rFonts w:ascii="Arial" w:hAnsi="Arial" w:cs="Arial"/>
          <w:bCs/>
          <w:color w:val="000000"/>
          <w:sz w:val="22"/>
          <w:szCs w:val="22"/>
        </w:rPr>
        <w:tab/>
        <w:t xml:space="preserve">The </w:t>
      </w:r>
      <w:r>
        <w:rPr>
          <w:rFonts w:ascii="Arial" w:hAnsi="Arial" w:cs="Arial"/>
          <w:bCs/>
          <w:color w:val="000000"/>
          <w:sz w:val="22"/>
          <w:szCs w:val="22"/>
        </w:rPr>
        <w:t xml:space="preserve">service is forecasting </w:t>
      </w:r>
      <w:proofErr w:type="gramStart"/>
      <w:r>
        <w:rPr>
          <w:rFonts w:ascii="Arial" w:hAnsi="Arial" w:cs="Arial"/>
          <w:bCs/>
          <w:color w:val="000000"/>
          <w:sz w:val="22"/>
          <w:szCs w:val="22"/>
        </w:rPr>
        <w:t>an overspend</w:t>
      </w:r>
      <w:proofErr w:type="gramEnd"/>
      <w:r>
        <w:rPr>
          <w:rFonts w:ascii="Arial" w:hAnsi="Arial" w:cs="Arial"/>
          <w:bCs/>
          <w:color w:val="000000"/>
          <w:sz w:val="22"/>
          <w:szCs w:val="22"/>
        </w:rPr>
        <w:t xml:space="preserve"> of £0.030 million relating to </w:t>
      </w:r>
      <w:r w:rsidR="00F5479F">
        <w:rPr>
          <w:rFonts w:ascii="Arial" w:hAnsi="Arial" w:cs="Arial"/>
          <w:bCs/>
          <w:color w:val="000000"/>
          <w:sz w:val="22"/>
          <w:szCs w:val="22"/>
        </w:rPr>
        <w:t>staffing pressure for a trainee solicitor and maternity leave costs.</w:t>
      </w:r>
    </w:p>
    <w:p w:rsidR="0043556D" w:rsidRPr="00F310D2" w:rsidRDefault="0043556D" w:rsidP="0043556D">
      <w:pPr>
        <w:widowControl w:val="0"/>
        <w:autoSpaceDE w:val="0"/>
        <w:autoSpaceDN w:val="0"/>
        <w:adjustRightInd w:val="0"/>
        <w:ind w:left="720" w:hanging="11"/>
        <w:rPr>
          <w:rFonts w:ascii="Arial" w:hAnsi="Arial" w:cs="Arial"/>
          <w:bCs/>
          <w:color w:val="000000"/>
          <w:sz w:val="22"/>
          <w:szCs w:val="22"/>
        </w:rPr>
      </w:pPr>
    </w:p>
    <w:p w:rsidR="0043556D" w:rsidRPr="00F310D2" w:rsidRDefault="0043556D" w:rsidP="0043556D">
      <w:pPr>
        <w:widowControl w:val="0"/>
        <w:autoSpaceDE w:val="0"/>
        <w:autoSpaceDN w:val="0"/>
        <w:adjustRightInd w:val="0"/>
        <w:ind w:left="709"/>
        <w:rPr>
          <w:rFonts w:ascii="Arial" w:hAnsi="Arial" w:cs="Arial"/>
          <w:b/>
          <w:bCs/>
          <w:color w:val="000000"/>
          <w:sz w:val="22"/>
          <w:szCs w:val="22"/>
        </w:rPr>
      </w:pPr>
      <w:r w:rsidRPr="00F310D2">
        <w:rPr>
          <w:rFonts w:ascii="Arial" w:hAnsi="Arial" w:cs="Arial"/>
          <w:b/>
          <w:bCs/>
          <w:color w:val="000000"/>
          <w:sz w:val="22"/>
          <w:szCs w:val="22"/>
        </w:rPr>
        <w:t>Financ</w:t>
      </w:r>
      <w:r>
        <w:rPr>
          <w:rFonts w:ascii="Arial" w:hAnsi="Arial" w:cs="Arial"/>
          <w:b/>
          <w:bCs/>
          <w:color w:val="000000"/>
          <w:sz w:val="22"/>
          <w:szCs w:val="22"/>
        </w:rPr>
        <w:t>ial Services</w:t>
      </w:r>
    </w:p>
    <w:p w:rsidR="0043556D" w:rsidRDefault="0043556D" w:rsidP="0043556D">
      <w:pPr>
        <w:widowControl w:val="0"/>
        <w:autoSpaceDE w:val="0"/>
        <w:autoSpaceDN w:val="0"/>
        <w:adjustRightInd w:val="0"/>
        <w:ind w:left="709" w:hanging="425"/>
        <w:rPr>
          <w:rFonts w:ascii="Arial" w:hAnsi="Arial" w:cs="Arial"/>
          <w:bCs/>
          <w:color w:val="000000"/>
          <w:sz w:val="22"/>
          <w:szCs w:val="22"/>
        </w:rPr>
      </w:pPr>
      <w:r>
        <w:rPr>
          <w:rFonts w:ascii="Arial" w:hAnsi="Arial" w:cs="Arial"/>
          <w:bCs/>
          <w:color w:val="000000"/>
          <w:sz w:val="22"/>
          <w:szCs w:val="22"/>
        </w:rPr>
        <w:t>2.</w:t>
      </w:r>
      <w:r w:rsidR="00A330AA">
        <w:rPr>
          <w:rFonts w:ascii="Arial" w:hAnsi="Arial" w:cs="Arial"/>
          <w:bCs/>
          <w:color w:val="000000"/>
          <w:sz w:val="22"/>
          <w:szCs w:val="22"/>
        </w:rPr>
        <w:t>3</w:t>
      </w:r>
      <w:r w:rsidRPr="00F310D2">
        <w:rPr>
          <w:rFonts w:ascii="Arial" w:hAnsi="Arial" w:cs="Arial"/>
          <w:bCs/>
          <w:color w:val="000000"/>
          <w:sz w:val="22"/>
          <w:szCs w:val="22"/>
        </w:rPr>
        <w:tab/>
        <w:t>Financ</w:t>
      </w:r>
      <w:r>
        <w:rPr>
          <w:rFonts w:ascii="Arial" w:hAnsi="Arial" w:cs="Arial"/>
          <w:bCs/>
          <w:color w:val="000000"/>
          <w:sz w:val="22"/>
          <w:szCs w:val="22"/>
        </w:rPr>
        <w:t>ial S</w:t>
      </w:r>
      <w:r w:rsidRPr="00F310D2">
        <w:rPr>
          <w:rFonts w:ascii="Arial" w:hAnsi="Arial" w:cs="Arial"/>
          <w:bCs/>
          <w:color w:val="000000"/>
          <w:sz w:val="22"/>
          <w:szCs w:val="22"/>
        </w:rPr>
        <w:t>ervice</w:t>
      </w:r>
      <w:r>
        <w:rPr>
          <w:rFonts w:ascii="Arial" w:hAnsi="Arial" w:cs="Arial"/>
          <w:bCs/>
          <w:color w:val="000000"/>
          <w:sz w:val="22"/>
          <w:szCs w:val="22"/>
        </w:rPr>
        <w:t>s</w:t>
      </w:r>
      <w:r w:rsidRPr="00F310D2">
        <w:rPr>
          <w:rFonts w:ascii="Arial" w:hAnsi="Arial" w:cs="Arial"/>
          <w:bCs/>
          <w:color w:val="000000"/>
          <w:sz w:val="22"/>
          <w:szCs w:val="22"/>
        </w:rPr>
        <w:t xml:space="preserve"> is currently forecast</w:t>
      </w:r>
      <w:r>
        <w:rPr>
          <w:rFonts w:ascii="Arial" w:hAnsi="Arial" w:cs="Arial"/>
          <w:bCs/>
          <w:color w:val="000000"/>
          <w:sz w:val="22"/>
          <w:szCs w:val="22"/>
        </w:rPr>
        <w:t>ing</w:t>
      </w:r>
      <w:r w:rsidRPr="00F310D2">
        <w:rPr>
          <w:rFonts w:ascii="Arial" w:hAnsi="Arial" w:cs="Arial"/>
          <w:bCs/>
          <w:color w:val="000000"/>
          <w:sz w:val="22"/>
          <w:szCs w:val="22"/>
        </w:rPr>
        <w:t xml:space="preserve"> </w:t>
      </w:r>
      <w:r w:rsidR="00F5479F">
        <w:rPr>
          <w:rFonts w:ascii="Arial" w:hAnsi="Arial" w:cs="Arial"/>
          <w:bCs/>
          <w:color w:val="000000"/>
          <w:sz w:val="22"/>
          <w:szCs w:val="22"/>
        </w:rPr>
        <w:t>an underspend of £0.070 million which relates to staff turnover within the service.</w:t>
      </w:r>
    </w:p>
    <w:p w:rsidR="005873F0" w:rsidRDefault="005873F0" w:rsidP="0043556D">
      <w:pPr>
        <w:widowControl w:val="0"/>
        <w:autoSpaceDE w:val="0"/>
        <w:autoSpaceDN w:val="0"/>
        <w:adjustRightInd w:val="0"/>
        <w:ind w:left="709" w:hanging="425"/>
        <w:rPr>
          <w:rFonts w:ascii="Arial" w:hAnsi="Arial" w:cs="Arial"/>
          <w:bCs/>
          <w:color w:val="000000"/>
          <w:sz w:val="22"/>
          <w:szCs w:val="22"/>
        </w:rPr>
      </w:pPr>
    </w:p>
    <w:p w:rsidR="005873F0" w:rsidRDefault="005873F0" w:rsidP="0043556D">
      <w:pPr>
        <w:widowControl w:val="0"/>
        <w:autoSpaceDE w:val="0"/>
        <w:autoSpaceDN w:val="0"/>
        <w:adjustRightInd w:val="0"/>
        <w:ind w:left="709" w:hanging="425"/>
        <w:rPr>
          <w:rFonts w:ascii="Arial" w:hAnsi="Arial" w:cs="Arial"/>
          <w:bCs/>
          <w:color w:val="000000"/>
          <w:sz w:val="22"/>
          <w:szCs w:val="22"/>
          <w:u w:val="single"/>
        </w:rPr>
      </w:pPr>
      <w:r w:rsidRPr="005873F0">
        <w:rPr>
          <w:rFonts w:ascii="Arial" w:hAnsi="Arial" w:cs="Arial"/>
          <w:bCs/>
          <w:color w:val="000000"/>
          <w:sz w:val="22"/>
          <w:szCs w:val="22"/>
          <w:u w:val="single"/>
        </w:rPr>
        <w:t>Treasury Manag</w:t>
      </w:r>
      <w:r>
        <w:rPr>
          <w:rFonts w:ascii="Arial" w:hAnsi="Arial" w:cs="Arial"/>
          <w:bCs/>
          <w:color w:val="000000"/>
          <w:sz w:val="22"/>
          <w:szCs w:val="22"/>
          <w:u w:val="single"/>
        </w:rPr>
        <w:t>e</w:t>
      </w:r>
      <w:r w:rsidRPr="005873F0">
        <w:rPr>
          <w:rFonts w:ascii="Arial" w:hAnsi="Arial" w:cs="Arial"/>
          <w:bCs/>
          <w:color w:val="000000"/>
          <w:sz w:val="22"/>
          <w:szCs w:val="22"/>
          <w:u w:val="single"/>
        </w:rPr>
        <w:t>ment</w:t>
      </w:r>
    </w:p>
    <w:p w:rsidR="005873F0" w:rsidRDefault="005873F0" w:rsidP="0043556D">
      <w:pPr>
        <w:widowControl w:val="0"/>
        <w:autoSpaceDE w:val="0"/>
        <w:autoSpaceDN w:val="0"/>
        <w:adjustRightInd w:val="0"/>
        <w:ind w:left="709" w:hanging="425"/>
        <w:rPr>
          <w:rFonts w:ascii="Arial" w:hAnsi="Arial" w:cs="Arial"/>
          <w:bCs/>
          <w:color w:val="000000"/>
          <w:sz w:val="22"/>
          <w:szCs w:val="22"/>
          <w:u w:val="single"/>
        </w:rPr>
      </w:pPr>
    </w:p>
    <w:p w:rsidR="00694372" w:rsidRDefault="005873F0" w:rsidP="0043556D">
      <w:pPr>
        <w:widowControl w:val="0"/>
        <w:autoSpaceDE w:val="0"/>
        <w:autoSpaceDN w:val="0"/>
        <w:adjustRightInd w:val="0"/>
        <w:ind w:left="709" w:hanging="425"/>
        <w:rPr>
          <w:rFonts w:ascii="Arial" w:hAnsi="Arial" w:cs="Arial"/>
          <w:bCs/>
          <w:color w:val="000000"/>
          <w:sz w:val="22"/>
          <w:szCs w:val="22"/>
        </w:rPr>
      </w:pPr>
      <w:r>
        <w:rPr>
          <w:rFonts w:ascii="Arial" w:hAnsi="Arial" w:cs="Arial"/>
          <w:bCs/>
          <w:color w:val="000000"/>
          <w:sz w:val="22"/>
          <w:szCs w:val="22"/>
        </w:rPr>
        <w:t>2.4</w:t>
      </w:r>
      <w:r>
        <w:rPr>
          <w:rFonts w:ascii="Arial" w:hAnsi="Arial" w:cs="Arial"/>
          <w:bCs/>
          <w:color w:val="000000"/>
          <w:sz w:val="22"/>
          <w:szCs w:val="22"/>
        </w:rPr>
        <w:tab/>
        <w:t xml:space="preserve">The Base Rate remains at 0.5%.  </w:t>
      </w:r>
      <w:r w:rsidR="00694372">
        <w:rPr>
          <w:rFonts w:ascii="Arial" w:hAnsi="Arial" w:cs="Arial"/>
          <w:bCs/>
          <w:color w:val="000000"/>
          <w:sz w:val="22"/>
          <w:szCs w:val="22"/>
        </w:rPr>
        <w:t>The total investments at the end of the quarter were £82 million</w:t>
      </w:r>
      <w:r w:rsidR="00CF2161">
        <w:rPr>
          <w:rFonts w:ascii="Arial" w:hAnsi="Arial" w:cs="Arial"/>
          <w:bCs/>
          <w:color w:val="000000"/>
          <w:sz w:val="22"/>
          <w:szCs w:val="22"/>
        </w:rPr>
        <w:t xml:space="preserve"> at an average rate of return of 1.14%</w:t>
      </w:r>
      <w:bookmarkStart w:id="0" w:name="_GoBack"/>
      <w:bookmarkEnd w:id="0"/>
      <w:r w:rsidR="008E41CF">
        <w:rPr>
          <w:rFonts w:ascii="Arial" w:hAnsi="Arial" w:cs="Arial"/>
          <w:bCs/>
          <w:color w:val="000000"/>
          <w:sz w:val="22"/>
          <w:szCs w:val="22"/>
        </w:rPr>
        <w:t>.</w:t>
      </w:r>
      <w:r w:rsidR="00694372">
        <w:rPr>
          <w:rFonts w:ascii="Arial" w:hAnsi="Arial" w:cs="Arial"/>
          <w:bCs/>
          <w:color w:val="000000"/>
          <w:sz w:val="22"/>
          <w:szCs w:val="22"/>
        </w:rPr>
        <w:t xml:space="preserve"> </w:t>
      </w:r>
    </w:p>
    <w:p w:rsidR="00694372" w:rsidRDefault="00694372" w:rsidP="0043556D">
      <w:pPr>
        <w:widowControl w:val="0"/>
        <w:autoSpaceDE w:val="0"/>
        <w:autoSpaceDN w:val="0"/>
        <w:adjustRightInd w:val="0"/>
        <w:ind w:left="709" w:hanging="425"/>
        <w:rPr>
          <w:rFonts w:ascii="Arial" w:hAnsi="Arial" w:cs="Arial"/>
          <w:bCs/>
          <w:color w:val="000000"/>
          <w:sz w:val="22"/>
          <w:szCs w:val="22"/>
        </w:rPr>
      </w:pPr>
      <w:r w:rsidRPr="00694372">
        <w:rPr>
          <w:rFonts w:ascii="Arial" w:hAnsi="Arial" w:cs="Arial"/>
          <w:bCs/>
          <w:noProof/>
          <w:color w:val="000000"/>
          <w:sz w:val="22"/>
          <w:szCs w:val="22"/>
        </w:rPr>
        <w:lastRenderedPageBreak/>
        <w:drawing>
          <wp:inline distT="0" distB="0" distL="0" distR="0" wp14:anchorId="643A5DCB" wp14:editId="2E2D2284">
            <wp:extent cx="594360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66160"/>
                    </a:xfrm>
                    <a:prstGeom prst="rect">
                      <a:avLst/>
                    </a:prstGeom>
                  </pic:spPr>
                </pic:pic>
              </a:graphicData>
            </a:graphic>
          </wp:inline>
        </w:drawing>
      </w:r>
    </w:p>
    <w:p w:rsidR="005873F0" w:rsidRDefault="005873F0" w:rsidP="0043556D">
      <w:pPr>
        <w:widowControl w:val="0"/>
        <w:autoSpaceDE w:val="0"/>
        <w:autoSpaceDN w:val="0"/>
        <w:adjustRightInd w:val="0"/>
        <w:ind w:left="709" w:hanging="425"/>
        <w:rPr>
          <w:rFonts w:ascii="Arial" w:hAnsi="Arial" w:cs="Arial"/>
          <w:bCs/>
          <w:color w:val="000000"/>
          <w:sz w:val="22"/>
          <w:szCs w:val="22"/>
        </w:rPr>
      </w:pPr>
    </w:p>
    <w:p w:rsidR="005873F0" w:rsidRPr="005873F0" w:rsidRDefault="005873F0" w:rsidP="0043556D">
      <w:pPr>
        <w:widowControl w:val="0"/>
        <w:autoSpaceDE w:val="0"/>
        <w:autoSpaceDN w:val="0"/>
        <w:adjustRightInd w:val="0"/>
        <w:ind w:left="709" w:hanging="425"/>
        <w:rPr>
          <w:rFonts w:ascii="Arial" w:hAnsi="Arial" w:cs="Arial"/>
          <w:bCs/>
          <w:color w:val="000000"/>
          <w:sz w:val="22"/>
          <w:szCs w:val="22"/>
          <w:u w:val="single"/>
        </w:rPr>
      </w:pPr>
      <w:r w:rsidRPr="005873F0">
        <w:rPr>
          <w:rFonts w:ascii="Arial" w:hAnsi="Arial" w:cs="Arial"/>
          <w:bCs/>
          <w:color w:val="000000"/>
          <w:sz w:val="22"/>
          <w:szCs w:val="22"/>
          <w:u w:val="single"/>
        </w:rPr>
        <w:t>Housing Benefit Overpayments</w:t>
      </w:r>
    </w:p>
    <w:p w:rsidR="005873F0" w:rsidRDefault="005873F0" w:rsidP="0043556D">
      <w:pPr>
        <w:widowControl w:val="0"/>
        <w:autoSpaceDE w:val="0"/>
        <w:autoSpaceDN w:val="0"/>
        <w:adjustRightInd w:val="0"/>
        <w:ind w:left="709" w:hanging="425"/>
        <w:rPr>
          <w:rFonts w:ascii="Arial" w:hAnsi="Arial" w:cs="Arial"/>
          <w:bCs/>
          <w:color w:val="000000"/>
          <w:sz w:val="22"/>
          <w:szCs w:val="22"/>
        </w:rPr>
      </w:pPr>
    </w:p>
    <w:p w:rsidR="00784F77" w:rsidRPr="00784F77" w:rsidRDefault="005873F0" w:rsidP="00784F77">
      <w:pPr>
        <w:widowControl w:val="0"/>
        <w:autoSpaceDE w:val="0"/>
        <w:autoSpaceDN w:val="0"/>
        <w:adjustRightInd w:val="0"/>
        <w:ind w:left="709" w:hanging="425"/>
        <w:rPr>
          <w:rFonts w:ascii="Arial" w:hAnsi="Arial" w:cs="Arial"/>
          <w:sz w:val="22"/>
          <w:szCs w:val="22"/>
        </w:rPr>
      </w:pPr>
      <w:r>
        <w:rPr>
          <w:rFonts w:ascii="Arial" w:hAnsi="Arial" w:cs="Arial"/>
          <w:bCs/>
          <w:color w:val="000000"/>
          <w:sz w:val="22"/>
          <w:szCs w:val="22"/>
        </w:rPr>
        <w:t>2.5</w:t>
      </w:r>
      <w:r>
        <w:rPr>
          <w:rFonts w:ascii="Arial" w:hAnsi="Arial" w:cs="Arial"/>
          <w:bCs/>
          <w:color w:val="000000"/>
          <w:sz w:val="22"/>
          <w:szCs w:val="22"/>
        </w:rPr>
        <w:tab/>
      </w:r>
      <w:r w:rsidR="00784F77" w:rsidRPr="00784F77">
        <w:rPr>
          <w:rFonts w:ascii="Arial" w:hAnsi="Arial" w:cs="Arial"/>
          <w:sz w:val="22"/>
          <w:szCs w:val="22"/>
        </w:rPr>
        <w:t>The overall value of Housing Benefit Overpayments outstanding rose by £0.124 million over the quarter.  The total value of Housing Benefits Overpayments as at 31</w:t>
      </w:r>
      <w:r w:rsidR="00784F77" w:rsidRPr="00784F77">
        <w:rPr>
          <w:rFonts w:ascii="Arial" w:hAnsi="Arial" w:cs="Arial"/>
          <w:sz w:val="22"/>
          <w:szCs w:val="22"/>
          <w:vertAlign w:val="superscript"/>
        </w:rPr>
        <w:t>st</w:t>
      </w:r>
      <w:r w:rsidR="00784F77" w:rsidRPr="00784F77">
        <w:rPr>
          <w:rFonts w:ascii="Arial" w:hAnsi="Arial" w:cs="Arial"/>
          <w:sz w:val="22"/>
          <w:szCs w:val="22"/>
        </w:rPr>
        <w:t xml:space="preserve"> December was £6.496 million which is 12.5% higher than the equivalent 12 months previously.  This increase is due to the extension of the Real Time Information data matching exercise and the Fraud and Error Incentive Scheme, both of which have increased the levels of fraud and error identification leading to an increase in identified overpayments.  Just over £3m of the total outstanding relates to cases where there are currently no arrangements in place to clear the debt, these are subject to review</w:t>
      </w:r>
      <w:r w:rsidR="00EA40C3">
        <w:rPr>
          <w:rFonts w:ascii="Arial" w:hAnsi="Arial" w:cs="Arial"/>
          <w:sz w:val="22"/>
          <w:szCs w:val="22"/>
        </w:rPr>
        <w:t xml:space="preserve"> by the end of March 2016, by which time the new Enforcement Agency contract will be in place and static debts will then be reviewed</w:t>
      </w:r>
      <w:r w:rsidR="008E41CF">
        <w:rPr>
          <w:rFonts w:ascii="Arial" w:hAnsi="Arial" w:cs="Arial"/>
          <w:sz w:val="22"/>
          <w:szCs w:val="22"/>
        </w:rPr>
        <w:t xml:space="preserve"> </w:t>
      </w:r>
      <w:r w:rsidR="00784F77" w:rsidRPr="00784F77">
        <w:rPr>
          <w:rFonts w:ascii="Arial" w:hAnsi="Arial" w:cs="Arial"/>
          <w:sz w:val="22"/>
          <w:szCs w:val="22"/>
        </w:rPr>
        <w:t>There is sufficient bad debt provision to cover this.</w:t>
      </w:r>
    </w:p>
    <w:p w:rsidR="00784F77" w:rsidRPr="00784F77" w:rsidRDefault="00784F77" w:rsidP="00784F77">
      <w:pPr>
        <w:widowControl w:val="0"/>
        <w:autoSpaceDE w:val="0"/>
        <w:autoSpaceDN w:val="0"/>
        <w:adjustRightInd w:val="0"/>
        <w:ind w:left="709" w:hanging="425"/>
        <w:rPr>
          <w:rFonts w:ascii="Arial" w:hAnsi="Arial" w:cs="Arial"/>
          <w:sz w:val="22"/>
          <w:szCs w:val="22"/>
        </w:rPr>
      </w:pPr>
    </w:p>
    <w:p w:rsidR="00784F77" w:rsidRPr="00784F77" w:rsidRDefault="00784F77" w:rsidP="00784F77">
      <w:pPr>
        <w:widowControl w:val="0"/>
        <w:autoSpaceDE w:val="0"/>
        <w:autoSpaceDN w:val="0"/>
        <w:adjustRightInd w:val="0"/>
        <w:ind w:left="709" w:hanging="425"/>
        <w:rPr>
          <w:rFonts w:ascii="Arial" w:hAnsi="Arial" w:cs="Arial"/>
          <w:sz w:val="22"/>
          <w:szCs w:val="22"/>
        </w:rPr>
      </w:pPr>
      <w:r w:rsidRPr="00784F77">
        <w:rPr>
          <w:rFonts w:ascii="Arial" w:hAnsi="Arial" w:cs="Arial"/>
          <w:sz w:val="22"/>
          <w:szCs w:val="22"/>
        </w:rPr>
        <w:t>2.6</w:t>
      </w:r>
      <w:r w:rsidRPr="00784F77">
        <w:rPr>
          <w:rFonts w:ascii="Arial" w:hAnsi="Arial" w:cs="Arial"/>
          <w:sz w:val="22"/>
          <w:szCs w:val="22"/>
        </w:rPr>
        <w:tab/>
      </w:r>
      <w:r w:rsidR="00EA40C3">
        <w:rPr>
          <w:rFonts w:ascii="Arial" w:hAnsi="Arial" w:cs="Arial"/>
          <w:sz w:val="22"/>
          <w:szCs w:val="22"/>
        </w:rPr>
        <w:t>The benefits service continues to ensure it receives the maximum entitlement to subsidy.  It therefore continues to monitor monthly the Local Authority Error and Administration delay figures, to ensure we remain below the lower threshold so that there is no loss in subsidy payments.</w:t>
      </w:r>
      <w:r w:rsidRPr="00784F77">
        <w:rPr>
          <w:rFonts w:ascii="Arial" w:hAnsi="Arial" w:cs="Arial"/>
          <w:sz w:val="22"/>
          <w:szCs w:val="22"/>
        </w:rPr>
        <w:t xml:space="preserve">  </w:t>
      </w:r>
    </w:p>
    <w:p w:rsidR="00784F77" w:rsidRDefault="00784F77" w:rsidP="00784F77">
      <w:pPr>
        <w:widowControl w:val="0"/>
        <w:autoSpaceDE w:val="0"/>
        <w:autoSpaceDN w:val="0"/>
        <w:adjustRightInd w:val="0"/>
        <w:ind w:left="709" w:hanging="425"/>
        <w:rPr>
          <w:rFonts w:ascii="Arial" w:hAnsi="Arial" w:cs="Arial"/>
          <w:bCs/>
          <w:color w:val="000000"/>
          <w:sz w:val="22"/>
          <w:szCs w:val="22"/>
        </w:rPr>
      </w:pPr>
    </w:p>
    <w:p w:rsidR="00784F77" w:rsidRDefault="00784F77" w:rsidP="0043556D">
      <w:pPr>
        <w:widowControl w:val="0"/>
        <w:autoSpaceDE w:val="0"/>
        <w:autoSpaceDN w:val="0"/>
        <w:adjustRightInd w:val="0"/>
        <w:ind w:left="709" w:hanging="425"/>
        <w:rPr>
          <w:rFonts w:ascii="Arial" w:hAnsi="Arial" w:cs="Arial"/>
          <w:bCs/>
          <w:color w:val="000000"/>
          <w:sz w:val="22"/>
          <w:szCs w:val="22"/>
        </w:rPr>
      </w:pPr>
      <w:r w:rsidRPr="00784F77">
        <w:rPr>
          <w:rFonts w:ascii="Arial" w:hAnsi="Arial" w:cs="Arial"/>
          <w:bCs/>
          <w:noProof/>
          <w:color w:val="000000"/>
          <w:sz w:val="22"/>
          <w:szCs w:val="22"/>
        </w:rPr>
        <w:lastRenderedPageBreak/>
        <w:drawing>
          <wp:inline distT="0" distB="0" distL="0" distR="0" wp14:anchorId="6A089099" wp14:editId="7AE709BC">
            <wp:extent cx="5943600" cy="3006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006090"/>
                    </a:xfrm>
                    <a:prstGeom prst="rect">
                      <a:avLst/>
                    </a:prstGeom>
                  </pic:spPr>
                </pic:pic>
              </a:graphicData>
            </a:graphic>
          </wp:inline>
        </w:drawing>
      </w:r>
    </w:p>
    <w:p w:rsidR="00784F77" w:rsidRDefault="00784F77" w:rsidP="0043556D">
      <w:pPr>
        <w:widowControl w:val="0"/>
        <w:autoSpaceDE w:val="0"/>
        <w:autoSpaceDN w:val="0"/>
        <w:adjustRightInd w:val="0"/>
        <w:ind w:left="709" w:hanging="425"/>
        <w:rPr>
          <w:rFonts w:ascii="Arial" w:hAnsi="Arial" w:cs="Arial"/>
          <w:bCs/>
          <w:color w:val="000000"/>
          <w:sz w:val="22"/>
          <w:szCs w:val="22"/>
        </w:rPr>
      </w:pPr>
    </w:p>
    <w:p w:rsidR="00784F77" w:rsidRPr="00AA4B23" w:rsidRDefault="00784F77" w:rsidP="0043556D">
      <w:pPr>
        <w:widowControl w:val="0"/>
        <w:autoSpaceDE w:val="0"/>
        <w:autoSpaceDN w:val="0"/>
        <w:adjustRightInd w:val="0"/>
        <w:ind w:left="709" w:hanging="425"/>
        <w:rPr>
          <w:rFonts w:ascii="Arial" w:hAnsi="Arial" w:cs="Arial"/>
          <w:bCs/>
          <w:color w:val="000000"/>
          <w:sz w:val="22"/>
          <w:szCs w:val="22"/>
          <w:u w:val="single"/>
        </w:rPr>
      </w:pPr>
      <w:r w:rsidRPr="00AA4B23">
        <w:rPr>
          <w:rFonts w:ascii="Arial" w:hAnsi="Arial" w:cs="Arial"/>
          <w:bCs/>
          <w:color w:val="000000"/>
          <w:sz w:val="22"/>
          <w:szCs w:val="22"/>
          <w:u w:val="single"/>
        </w:rPr>
        <w:t>Business Rates</w:t>
      </w:r>
    </w:p>
    <w:p w:rsidR="00784F77" w:rsidRDefault="00784F77" w:rsidP="0043556D">
      <w:pPr>
        <w:widowControl w:val="0"/>
        <w:autoSpaceDE w:val="0"/>
        <w:autoSpaceDN w:val="0"/>
        <w:adjustRightInd w:val="0"/>
        <w:ind w:left="709" w:hanging="425"/>
        <w:rPr>
          <w:rFonts w:ascii="Arial" w:hAnsi="Arial" w:cs="Arial"/>
          <w:bCs/>
          <w:color w:val="000000"/>
          <w:sz w:val="22"/>
          <w:szCs w:val="22"/>
        </w:rPr>
      </w:pPr>
    </w:p>
    <w:p w:rsidR="00784F77" w:rsidRDefault="00784F77" w:rsidP="0043556D">
      <w:pPr>
        <w:widowControl w:val="0"/>
        <w:autoSpaceDE w:val="0"/>
        <w:autoSpaceDN w:val="0"/>
        <w:adjustRightInd w:val="0"/>
        <w:ind w:left="709" w:hanging="425"/>
        <w:rPr>
          <w:rFonts w:ascii="Arial" w:hAnsi="Arial" w:cs="Arial"/>
          <w:bCs/>
          <w:color w:val="000000"/>
          <w:sz w:val="22"/>
          <w:szCs w:val="22"/>
        </w:rPr>
      </w:pPr>
      <w:r>
        <w:rPr>
          <w:rFonts w:ascii="Arial" w:hAnsi="Arial" w:cs="Arial"/>
          <w:bCs/>
          <w:color w:val="000000"/>
          <w:sz w:val="22"/>
          <w:szCs w:val="22"/>
        </w:rPr>
        <w:t>2.7</w:t>
      </w:r>
      <w:r>
        <w:rPr>
          <w:rFonts w:ascii="Arial" w:hAnsi="Arial" w:cs="Arial"/>
          <w:bCs/>
          <w:color w:val="000000"/>
          <w:sz w:val="22"/>
          <w:szCs w:val="22"/>
        </w:rPr>
        <w:tab/>
        <w:t>Arrears of non-domestic rates carried forward on April 1</w:t>
      </w:r>
      <w:r w:rsidRPr="00784F77">
        <w:rPr>
          <w:rFonts w:ascii="Arial" w:hAnsi="Arial" w:cs="Arial"/>
          <w:bCs/>
          <w:color w:val="000000"/>
          <w:sz w:val="22"/>
          <w:szCs w:val="22"/>
          <w:vertAlign w:val="superscript"/>
        </w:rPr>
        <w:t>st</w:t>
      </w:r>
      <w:r>
        <w:rPr>
          <w:rFonts w:ascii="Arial" w:hAnsi="Arial" w:cs="Arial"/>
          <w:bCs/>
          <w:color w:val="000000"/>
          <w:sz w:val="22"/>
          <w:szCs w:val="22"/>
        </w:rPr>
        <w:t xml:space="preserve"> 2015 were £2.469 million (£0.854 million (25.7%) down on the corresponding figure 12 months earlier.</w:t>
      </w:r>
    </w:p>
    <w:p w:rsidR="00784F77" w:rsidRDefault="00784F77" w:rsidP="0043556D">
      <w:pPr>
        <w:widowControl w:val="0"/>
        <w:autoSpaceDE w:val="0"/>
        <w:autoSpaceDN w:val="0"/>
        <w:adjustRightInd w:val="0"/>
        <w:ind w:left="709" w:hanging="425"/>
        <w:rPr>
          <w:rFonts w:ascii="Arial" w:hAnsi="Arial" w:cs="Arial"/>
          <w:bCs/>
          <w:color w:val="000000"/>
          <w:sz w:val="22"/>
          <w:szCs w:val="22"/>
        </w:rPr>
      </w:pPr>
    </w:p>
    <w:p w:rsidR="00784F77" w:rsidRDefault="00784F77" w:rsidP="0043556D">
      <w:pPr>
        <w:widowControl w:val="0"/>
        <w:autoSpaceDE w:val="0"/>
        <w:autoSpaceDN w:val="0"/>
        <w:adjustRightInd w:val="0"/>
        <w:ind w:left="709" w:hanging="425"/>
        <w:rPr>
          <w:rFonts w:ascii="Arial" w:hAnsi="Arial" w:cs="Arial"/>
          <w:bCs/>
          <w:color w:val="000000"/>
          <w:sz w:val="22"/>
          <w:szCs w:val="22"/>
        </w:rPr>
      </w:pPr>
      <w:r w:rsidRPr="00784F77">
        <w:rPr>
          <w:rFonts w:ascii="Arial" w:hAnsi="Arial" w:cs="Arial"/>
          <w:bCs/>
          <w:noProof/>
          <w:color w:val="000000"/>
          <w:sz w:val="22"/>
          <w:szCs w:val="22"/>
        </w:rPr>
        <w:drawing>
          <wp:inline distT="0" distB="0" distL="0" distR="0" wp14:anchorId="6B6BF993" wp14:editId="7BB1C406">
            <wp:extent cx="5943600" cy="240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02840"/>
                    </a:xfrm>
                    <a:prstGeom prst="rect">
                      <a:avLst/>
                    </a:prstGeom>
                  </pic:spPr>
                </pic:pic>
              </a:graphicData>
            </a:graphic>
          </wp:inline>
        </w:drawing>
      </w:r>
    </w:p>
    <w:p w:rsidR="00784F77" w:rsidRPr="00784F77" w:rsidRDefault="00784F77" w:rsidP="0043556D">
      <w:pPr>
        <w:widowControl w:val="0"/>
        <w:autoSpaceDE w:val="0"/>
        <w:autoSpaceDN w:val="0"/>
        <w:adjustRightInd w:val="0"/>
        <w:ind w:left="709" w:hanging="425"/>
        <w:rPr>
          <w:rFonts w:ascii="Arial" w:hAnsi="Arial" w:cs="Arial"/>
          <w:bCs/>
          <w:i/>
          <w:color w:val="000000"/>
          <w:sz w:val="22"/>
          <w:szCs w:val="22"/>
        </w:rPr>
      </w:pPr>
    </w:p>
    <w:p w:rsidR="00784F77" w:rsidRPr="001358A6" w:rsidRDefault="00784F77" w:rsidP="00784F77">
      <w:pPr>
        <w:widowControl w:val="0"/>
        <w:autoSpaceDE w:val="0"/>
        <w:autoSpaceDN w:val="0"/>
        <w:adjustRightInd w:val="0"/>
        <w:ind w:left="709" w:hanging="425"/>
        <w:rPr>
          <w:rFonts w:ascii="Arial" w:hAnsi="Arial" w:cs="Arial"/>
          <w:sz w:val="22"/>
          <w:szCs w:val="22"/>
        </w:rPr>
      </w:pPr>
      <w:r w:rsidRPr="001358A6">
        <w:rPr>
          <w:rFonts w:ascii="Arial" w:hAnsi="Arial" w:cs="Arial"/>
          <w:bCs/>
          <w:color w:val="000000"/>
          <w:sz w:val="22"/>
          <w:szCs w:val="22"/>
        </w:rPr>
        <w:t>2.8</w:t>
      </w:r>
      <w:r w:rsidRPr="001358A6">
        <w:rPr>
          <w:rFonts w:ascii="Arial" w:hAnsi="Arial" w:cs="Arial"/>
          <w:bCs/>
          <w:color w:val="000000"/>
          <w:sz w:val="22"/>
          <w:szCs w:val="22"/>
        </w:rPr>
        <w:tab/>
      </w:r>
      <w:r w:rsidRPr="001358A6">
        <w:rPr>
          <w:rFonts w:ascii="Arial" w:hAnsi="Arial" w:cs="Arial"/>
          <w:sz w:val="22"/>
          <w:szCs w:val="22"/>
        </w:rPr>
        <w:t>As at the 31</w:t>
      </w:r>
      <w:r w:rsidRPr="001358A6">
        <w:rPr>
          <w:rFonts w:ascii="Arial" w:hAnsi="Arial" w:cs="Arial"/>
          <w:sz w:val="22"/>
          <w:szCs w:val="22"/>
          <w:vertAlign w:val="superscript"/>
        </w:rPr>
        <w:t>st</w:t>
      </w:r>
      <w:r w:rsidRPr="001358A6">
        <w:rPr>
          <w:rFonts w:ascii="Arial" w:hAnsi="Arial" w:cs="Arial"/>
          <w:sz w:val="22"/>
          <w:szCs w:val="22"/>
        </w:rPr>
        <w:t xml:space="preserve"> December arrears had fallen by 34.32% from £1.826 million to £1.621 million. The main </w:t>
      </w:r>
      <w:r w:rsidR="0086790F" w:rsidRPr="001358A6">
        <w:rPr>
          <w:rFonts w:ascii="Arial" w:hAnsi="Arial" w:cs="Arial"/>
          <w:sz w:val="22"/>
          <w:szCs w:val="22"/>
        </w:rPr>
        <w:t>reason</w:t>
      </w:r>
      <w:r w:rsidRPr="001358A6">
        <w:rPr>
          <w:rFonts w:ascii="Arial" w:hAnsi="Arial" w:cs="Arial"/>
          <w:sz w:val="22"/>
          <w:szCs w:val="22"/>
        </w:rPr>
        <w:t xml:space="preserve"> is the overall collectable debit for prior years has fallen due to Rateable Value deductions.  £0.181 million of write offs have also been processed</w:t>
      </w:r>
      <w:r w:rsidR="001358A6" w:rsidRPr="001358A6">
        <w:rPr>
          <w:rFonts w:ascii="Arial" w:hAnsi="Arial" w:cs="Arial"/>
          <w:sz w:val="22"/>
          <w:szCs w:val="22"/>
        </w:rPr>
        <w:t xml:space="preserve"> in the current year</w:t>
      </w:r>
      <w:r w:rsidRPr="001358A6">
        <w:rPr>
          <w:rFonts w:ascii="Arial" w:hAnsi="Arial" w:cs="Arial"/>
          <w:sz w:val="22"/>
          <w:szCs w:val="22"/>
        </w:rPr>
        <w:t>.</w:t>
      </w:r>
    </w:p>
    <w:p w:rsidR="00784F77" w:rsidRPr="001358A6" w:rsidRDefault="00784F77" w:rsidP="00784F77">
      <w:pPr>
        <w:widowControl w:val="0"/>
        <w:autoSpaceDE w:val="0"/>
        <w:autoSpaceDN w:val="0"/>
        <w:adjustRightInd w:val="0"/>
        <w:ind w:left="709" w:hanging="425"/>
        <w:rPr>
          <w:rFonts w:ascii="Arial" w:hAnsi="Arial" w:cs="Arial"/>
          <w:sz w:val="22"/>
          <w:szCs w:val="22"/>
        </w:rPr>
      </w:pPr>
    </w:p>
    <w:p w:rsidR="00784F77" w:rsidRPr="001358A6" w:rsidRDefault="00784F77" w:rsidP="00784F77">
      <w:pPr>
        <w:widowControl w:val="0"/>
        <w:autoSpaceDE w:val="0"/>
        <w:autoSpaceDN w:val="0"/>
        <w:adjustRightInd w:val="0"/>
        <w:ind w:left="709" w:hanging="425"/>
        <w:rPr>
          <w:rFonts w:ascii="Arial" w:hAnsi="Arial" w:cs="Arial"/>
          <w:sz w:val="22"/>
          <w:szCs w:val="22"/>
        </w:rPr>
      </w:pPr>
      <w:r w:rsidRPr="001358A6">
        <w:rPr>
          <w:rFonts w:ascii="Arial" w:hAnsi="Arial" w:cs="Arial"/>
          <w:sz w:val="22"/>
          <w:szCs w:val="22"/>
        </w:rPr>
        <w:t>2.9</w:t>
      </w:r>
      <w:r w:rsidRPr="001358A6">
        <w:rPr>
          <w:rFonts w:ascii="Arial" w:hAnsi="Arial" w:cs="Arial"/>
          <w:sz w:val="22"/>
          <w:szCs w:val="22"/>
        </w:rPr>
        <w:tab/>
        <w:t xml:space="preserve">The 2015/16 collection rate was </w:t>
      </w:r>
      <w:r w:rsidR="001358A6" w:rsidRPr="001358A6">
        <w:rPr>
          <w:rFonts w:ascii="Arial" w:hAnsi="Arial" w:cs="Arial"/>
          <w:sz w:val="22"/>
          <w:szCs w:val="22"/>
        </w:rPr>
        <w:t>84.18</w:t>
      </w:r>
      <w:r w:rsidRPr="001358A6">
        <w:rPr>
          <w:rFonts w:ascii="Arial" w:hAnsi="Arial" w:cs="Arial"/>
          <w:sz w:val="22"/>
          <w:szCs w:val="22"/>
        </w:rPr>
        <w:t xml:space="preserve">% at the end of the quarter </w:t>
      </w:r>
      <w:r w:rsidR="001358A6" w:rsidRPr="001358A6">
        <w:rPr>
          <w:rFonts w:ascii="Arial" w:hAnsi="Arial" w:cs="Arial"/>
          <w:sz w:val="22"/>
          <w:szCs w:val="22"/>
        </w:rPr>
        <w:t xml:space="preserve">against the profiled target of 84%. </w:t>
      </w:r>
      <w:r w:rsidRPr="001358A6">
        <w:rPr>
          <w:rFonts w:ascii="Arial" w:hAnsi="Arial" w:cs="Arial"/>
          <w:sz w:val="22"/>
          <w:szCs w:val="22"/>
        </w:rPr>
        <w:t>The collection rate for 2014/15 has moved on from 98.8</w:t>
      </w:r>
      <w:r w:rsidR="001358A6" w:rsidRPr="001358A6">
        <w:rPr>
          <w:rFonts w:ascii="Arial" w:hAnsi="Arial" w:cs="Arial"/>
          <w:sz w:val="22"/>
          <w:szCs w:val="22"/>
        </w:rPr>
        <w:t>0% at the end of 2014/15 to 99.2</w:t>
      </w:r>
      <w:r w:rsidRPr="001358A6">
        <w:rPr>
          <w:rFonts w:ascii="Arial" w:hAnsi="Arial" w:cs="Arial"/>
          <w:sz w:val="22"/>
          <w:szCs w:val="22"/>
        </w:rPr>
        <w:t xml:space="preserve">3% </w:t>
      </w:r>
      <w:r w:rsidR="001358A6" w:rsidRPr="001358A6">
        <w:rPr>
          <w:rFonts w:ascii="Arial" w:hAnsi="Arial" w:cs="Arial"/>
          <w:sz w:val="22"/>
          <w:szCs w:val="22"/>
        </w:rPr>
        <w:t>nine</w:t>
      </w:r>
      <w:r w:rsidRPr="001358A6">
        <w:rPr>
          <w:rFonts w:ascii="Arial" w:hAnsi="Arial" w:cs="Arial"/>
          <w:sz w:val="22"/>
          <w:szCs w:val="22"/>
        </w:rPr>
        <w:t xml:space="preserve"> months later.</w:t>
      </w:r>
    </w:p>
    <w:p w:rsidR="00784F77" w:rsidRDefault="00784F77" w:rsidP="00784F77">
      <w:pPr>
        <w:widowControl w:val="0"/>
        <w:autoSpaceDE w:val="0"/>
        <w:autoSpaceDN w:val="0"/>
        <w:adjustRightInd w:val="0"/>
        <w:ind w:left="709" w:hanging="425"/>
        <w:rPr>
          <w:rFonts w:ascii="Arial" w:hAnsi="Arial" w:cs="Arial"/>
          <w:i/>
          <w:sz w:val="22"/>
          <w:szCs w:val="22"/>
        </w:rPr>
      </w:pPr>
    </w:p>
    <w:p w:rsidR="001358A6" w:rsidRDefault="001358A6" w:rsidP="00784F77">
      <w:pPr>
        <w:widowControl w:val="0"/>
        <w:autoSpaceDE w:val="0"/>
        <w:autoSpaceDN w:val="0"/>
        <w:adjustRightInd w:val="0"/>
        <w:ind w:left="709" w:hanging="425"/>
        <w:rPr>
          <w:rFonts w:ascii="Arial" w:hAnsi="Arial" w:cs="Arial"/>
          <w:i/>
          <w:sz w:val="22"/>
          <w:szCs w:val="22"/>
        </w:rPr>
      </w:pPr>
    </w:p>
    <w:p w:rsidR="00784F77" w:rsidRDefault="00784F77" w:rsidP="00784F77">
      <w:pPr>
        <w:widowControl w:val="0"/>
        <w:autoSpaceDE w:val="0"/>
        <w:autoSpaceDN w:val="0"/>
        <w:adjustRightInd w:val="0"/>
        <w:ind w:left="709" w:hanging="425"/>
        <w:rPr>
          <w:rFonts w:ascii="Arial" w:hAnsi="Arial" w:cs="Arial"/>
          <w:sz w:val="22"/>
          <w:szCs w:val="22"/>
          <w:u w:val="single"/>
        </w:rPr>
      </w:pPr>
      <w:r w:rsidRPr="00784F77">
        <w:rPr>
          <w:rFonts w:ascii="Arial" w:hAnsi="Arial" w:cs="Arial"/>
          <w:sz w:val="22"/>
          <w:szCs w:val="22"/>
          <w:u w:val="single"/>
        </w:rPr>
        <w:lastRenderedPageBreak/>
        <w:t>Council Tax Arrears Collection</w:t>
      </w:r>
    </w:p>
    <w:p w:rsidR="00784F77" w:rsidRDefault="00784F77" w:rsidP="00784F77">
      <w:pPr>
        <w:widowControl w:val="0"/>
        <w:autoSpaceDE w:val="0"/>
        <w:autoSpaceDN w:val="0"/>
        <w:adjustRightInd w:val="0"/>
        <w:ind w:left="709" w:hanging="425"/>
        <w:rPr>
          <w:rFonts w:ascii="Arial" w:hAnsi="Arial" w:cs="Arial"/>
          <w:sz w:val="22"/>
          <w:szCs w:val="22"/>
          <w:u w:val="single"/>
        </w:rPr>
      </w:pPr>
    </w:p>
    <w:p w:rsidR="00784F77" w:rsidRDefault="00784F77" w:rsidP="00784F77">
      <w:pPr>
        <w:ind w:left="709" w:hanging="425"/>
        <w:rPr>
          <w:rFonts w:ascii="Arial" w:hAnsi="Arial" w:cs="Arial"/>
          <w:sz w:val="22"/>
          <w:szCs w:val="22"/>
        </w:rPr>
      </w:pPr>
      <w:r w:rsidRPr="00784F77">
        <w:rPr>
          <w:rFonts w:ascii="Arial" w:hAnsi="Arial" w:cs="Arial"/>
          <w:sz w:val="22"/>
          <w:szCs w:val="22"/>
        </w:rPr>
        <w:t>2.10</w:t>
      </w:r>
      <w:r w:rsidRPr="00784F77">
        <w:rPr>
          <w:rFonts w:ascii="Arial" w:hAnsi="Arial" w:cs="Arial"/>
          <w:sz w:val="22"/>
          <w:szCs w:val="22"/>
        </w:rPr>
        <w:tab/>
      </w:r>
      <w:r>
        <w:rPr>
          <w:rFonts w:ascii="Arial" w:hAnsi="Arial" w:cs="Arial"/>
          <w:sz w:val="22"/>
          <w:szCs w:val="22"/>
        </w:rPr>
        <w:t>Council Tax arrears (i.e. payments due for years 1993-94 up to 2014/15) carried forward on 1</w:t>
      </w:r>
      <w:r>
        <w:rPr>
          <w:rFonts w:ascii="Arial" w:hAnsi="Arial" w:cs="Arial"/>
          <w:sz w:val="22"/>
          <w:szCs w:val="22"/>
          <w:vertAlign w:val="superscript"/>
        </w:rPr>
        <w:t>st</w:t>
      </w:r>
      <w:r>
        <w:rPr>
          <w:rFonts w:ascii="Arial" w:hAnsi="Arial" w:cs="Arial"/>
          <w:sz w:val="22"/>
          <w:szCs w:val="22"/>
        </w:rPr>
        <w:t xml:space="preserve"> April 2015 were £5.392 million, a 21.4% decrease on the corresponding figure 12 months earlier. </w:t>
      </w:r>
    </w:p>
    <w:p w:rsidR="00784F77" w:rsidRDefault="00784F77" w:rsidP="00784F77">
      <w:pPr>
        <w:widowControl w:val="0"/>
        <w:autoSpaceDE w:val="0"/>
        <w:autoSpaceDN w:val="0"/>
        <w:adjustRightInd w:val="0"/>
        <w:ind w:left="709" w:hanging="425"/>
        <w:rPr>
          <w:rFonts w:ascii="Arial" w:hAnsi="Arial" w:cs="Arial"/>
          <w:sz w:val="22"/>
          <w:szCs w:val="22"/>
        </w:rPr>
      </w:pPr>
      <w:r w:rsidRPr="00784F77">
        <w:rPr>
          <w:rFonts w:ascii="Arial" w:hAnsi="Arial" w:cs="Arial"/>
          <w:noProof/>
          <w:sz w:val="22"/>
          <w:szCs w:val="22"/>
        </w:rPr>
        <w:drawing>
          <wp:inline distT="0" distB="0" distL="0" distR="0" wp14:anchorId="03F18E45" wp14:editId="3E5B2797">
            <wp:extent cx="5943600" cy="28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44800"/>
                    </a:xfrm>
                    <a:prstGeom prst="rect">
                      <a:avLst/>
                    </a:prstGeom>
                  </pic:spPr>
                </pic:pic>
              </a:graphicData>
            </a:graphic>
          </wp:inline>
        </w:drawing>
      </w:r>
    </w:p>
    <w:p w:rsidR="00784F77" w:rsidRDefault="00784F77" w:rsidP="00784F77">
      <w:pPr>
        <w:widowControl w:val="0"/>
        <w:autoSpaceDE w:val="0"/>
        <w:autoSpaceDN w:val="0"/>
        <w:adjustRightInd w:val="0"/>
        <w:ind w:left="709" w:hanging="425"/>
        <w:rPr>
          <w:rFonts w:ascii="Arial" w:hAnsi="Arial" w:cs="Arial"/>
          <w:sz w:val="22"/>
          <w:szCs w:val="22"/>
        </w:rPr>
      </w:pPr>
    </w:p>
    <w:p w:rsidR="00784F77" w:rsidRPr="001358A6" w:rsidRDefault="00784F77" w:rsidP="00784F77">
      <w:pPr>
        <w:widowControl w:val="0"/>
        <w:autoSpaceDE w:val="0"/>
        <w:autoSpaceDN w:val="0"/>
        <w:adjustRightInd w:val="0"/>
        <w:ind w:left="709" w:hanging="425"/>
        <w:rPr>
          <w:rFonts w:ascii="Arial" w:hAnsi="Arial" w:cs="Arial"/>
          <w:sz w:val="22"/>
          <w:szCs w:val="22"/>
        </w:rPr>
      </w:pPr>
      <w:r w:rsidRPr="001358A6">
        <w:rPr>
          <w:rFonts w:ascii="Arial" w:hAnsi="Arial" w:cs="Arial"/>
          <w:sz w:val="22"/>
          <w:szCs w:val="22"/>
        </w:rPr>
        <w:t>2.11</w:t>
      </w:r>
      <w:r w:rsidRPr="001358A6">
        <w:rPr>
          <w:rFonts w:ascii="Arial" w:hAnsi="Arial" w:cs="Arial"/>
          <w:sz w:val="22"/>
          <w:szCs w:val="22"/>
        </w:rPr>
        <w:tab/>
        <w:t xml:space="preserve">Over the first </w:t>
      </w:r>
      <w:r w:rsidR="001358A6" w:rsidRPr="001358A6">
        <w:rPr>
          <w:rFonts w:ascii="Arial" w:hAnsi="Arial" w:cs="Arial"/>
          <w:sz w:val="22"/>
          <w:szCs w:val="22"/>
        </w:rPr>
        <w:t>three</w:t>
      </w:r>
      <w:r w:rsidRPr="001358A6">
        <w:rPr>
          <w:rFonts w:ascii="Arial" w:hAnsi="Arial" w:cs="Arial"/>
          <w:sz w:val="22"/>
          <w:szCs w:val="22"/>
        </w:rPr>
        <w:t xml:space="preserve"> quarters of 2015/16 arrears fell by £1.</w:t>
      </w:r>
      <w:r w:rsidR="001358A6" w:rsidRPr="001358A6">
        <w:rPr>
          <w:rFonts w:ascii="Arial" w:hAnsi="Arial" w:cs="Arial"/>
          <w:sz w:val="22"/>
          <w:szCs w:val="22"/>
        </w:rPr>
        <w:t>568</w:t>
      </w:r>
      <w:r w:rsidRPr="001358A6">
        <w:rPr>
          <w:rFonts w:ascii="Arial" w:hAnsi="Arial" w:cs="Arial"/>
          <w:sz w:val="22"/>
          <w:szCs w:val="22"/>
        </w:rPr>
        <w:t xml:space="preserve"> million to £</w:t>
      </w:r>
      <w:r w:rsidR="001358A6" w:rsidRPr="001358A6">
        <w:rPr>
          <w:rFonts w:ascii="Arial" w:hAnsi="Arial" w:cs="Arial"/>
          <w:sz w:val="22"/>
          <w:szCs w:val="22"/>
        </w:rPr>
        <w:t>3.824</w:t>
      </w:r>
      <w:r w:rsidRPr="001358A6">
        <w:rPr>
          <w:rFonts w:ascii="Arial" w:hAnsi="Arial" w:cs="Arial"/>
          <w:sz w:val="22"/>
          <w:szCs w:val="22"/>
        </w:rPr>
        <w:t xml:space="preserve"> million, a 2</w:t>
      </w:r>
      <w:r w:rsidR="001358A6" w:rsidRPr="001358A6">
        <w:rPr>
          <w:rFonts w:ascii="Arial" w:hAnsi="Arial" w:cs="Arial"/>
          <w:sz w:val="22"/>
          <w:szCs w:val="22"/>
        </w:rPr>
        <w:t>3.98</w:t>
      </w:r>
      <w:r w:rsidRPr="001358A6">
        <w:rPr>
          <w:rFonts w:ascii="Arial" w:hAnsi="Arial" w:cs="Arial"/>
          <w:sz w:val="22"/>
          <w:szCs w:val="22"/>
        </w:rPr>
        <w:t>% improvement on the level of arrears 12 months before. Payments (net of refunds) received in the first half of the year totalled £</w:t>
      </w:r>
      <w:r w:rsidR="001358A6" w:rsidRPr="001358A6">
        <w:rPr>
          <w:rFonts w:ascii="Arial" w:hAnsi="Arial" w:cs="Arial"/>
          <w:sz w:val="22"/>
          <w:szCs w:val="22"/>
        </w:rPr>
        <w:t>1.301</w:t>
      </w:r>
      <w:r w:rsidRPr="001358A6">
        <w:rPr>
          <w:rFonts w:ascii="Arial" w:hAnsi="Arial" w:cs="Arial"/>
          <w:sz w:val="22"/>
          <w:szCs w:val="22"/>
        </w:rPr>
        <w:t xml:space="preserve"> million and write offs of £0.</w:t>
      </w:r>
      <w:r w:rsidR="001358A6" w:rsidRPr="001358A6">
        <w:rPr>
          <w:rFonts w:ascii="Arial" w:hAnsi="Arial" w:cs="Arial"/>
          <w:sz w:val="22"/>
          <w:szCs w:val="22"/>
        </w:rPr>
        <w:t>206</w:t>
      </w:r>
      <w:r w:rsidRPr="001358A6">
        <w:rPr>
          <w:rFonts w:ascii="Arial" w:hAnsi="Arial" w:cs="Arial"/>
          <w:sz w:val="22"/>
          <w:szCs w:val="22"/>
        </w:rPr>
        <w:t xml:space="preserve"> million have been processed.</w:t>
      </w:r>
    </w:p>
    <w:p w:rsidR="00784F77" w:rsidRPr="001358A6" w:rsidRDefault="00784F77" w:rsidP="00784F77">
      <w:pPr>
        <w:widowControl w:val="0"/>
        <w:autoSpaceDE w:val="0"/>
        <w:autoSpaceDN w:val="0"/>
        <w:adjustRightInd w:val="0"/>
        <w:rPr>
          <w:rFonts w:ascii="Arial" w:hAnsi="Arial" w:cs="Arial"/>
          <w:sz w:val="22"/>
          <w:szCs w:val="22"/>
        </w:rPr>
      </w:pPr>
    </w:p>
    <w:p w:rsidR="00784F77" w:rsidRPr="00C51DCE" w:rsidRDefault="00784F77" w:rsidP="00784F77">
      <w:pPr>
        <w:widowControl w:val="0"/>
        <w:autoSpaceDE w:val="0"/>
        <w:autoSpaceDN w:val="0"/>
        <w:adjustRightInd w:val="0"/>
        <w:ind w:left="709" w:hanging="425"/>
        <w:rPr>
          <w:rFonts w:ascii="Arial" w:hAnsi="Arial" w:cs="Arial"/>
          <w:sz w:val="22"/>
          <w:szCs w:val="22"/>
        </w:rPr>
      </w:pPr>
      <w:r w:rsidRPr="001358A6">
        <w:rPr>
          <w:rFonts w:ascii="Arial" w:hAnsi="Arial" w:cs="Arial"/>
          <w:sz w:val="22"/>
          <w:szCs w:val="22"/>
        </w:rPr>
        <w:t>2.12</w:t>
      </w:r>
      <w:r w:rsidRPr="001358A6">
        <w:rPr>
          <w:rFonts w:ascii="Arial" w:hAnsi="Arial" w:cs="Arial"/>
          <w:sz w:val="22"/>
          <w:szCs w:val="22"/>
        </w:rPr>
        <w:tab/>
        <w:t xml:space="preserve">The collection rate for 2015/16 at the end of the quarter was </w:t>
      </w:r>
      <w:r w:rsidR="001358A6">
        <w:rPr>
          <w:rFonts w:ascii="Arial" w:hAnsi="Arial" w:cs="Arial"/>
          <w:sz w:val="22"/>
          <w:szCs w:val="22"/>
        </w:rPr>
        <w:t>85.03</w:t>
      </w:r>
      <w:r w:rsidRPr="001358A6">
        <w:rPr>
          <w:rFonts w:ascii="Arial" w:hAnsi="Arial" w:cs="Arial"/>
          <w:sz w:val="22"/>
          <w:szCs w:val="22"/>
        </w:rPr>
        <w:t xml:space="preserve">%. The corresponding figure 12 months previously was </w:t>
      </w:r>
      <w:r w:rsidR="001358A6">
        <w:rPr>
          <w:rFonts w:ascii="Arial" w:hAnsi="Arial" w:cs="Arial"/>
          <w:sz w:val="22"/>
          <w:szCs w:val="22"/>
        </w:rPr>
        <w:t>85.15</w:t>
      </w:r>
      <w:r w:rsidRPr="001358A6">
        <w:rPr>
          <w:rFonts w:ascii="Arial" w:hAnsi="Arial" w:cs="Arial"/>
          <w:sz w:val="22"/>
          <w:szCs w:val="22"/>
        </w:rPr>
        <w:t xml:space="preserve">%.  The collection of arrears has exceeded the end of quarter profiled target of </w:t>
      </w:r>
      <w:r w:rsidR="001358A6">
        <w:rPr>
          <w:rFonts w:ascii="Arial" w:hAnsi="Arial" w:cs="Arial"/>
          <w:sz w:val="22"/>
          <w:szCs w:val="22"/>
        </w:rPr>
        <w:t>84</w:t>
      </w:r>
      <w:r w:rsidRPr="001358A6">
        <w:rPr>
          <w:rFonts w:ascii="Arial" w:hAnsi="Arial" w:cs="Arial"/>
          <w:sz w:val="22"/>
          <w:szCs w:val="22"/>
        </w:rPr>
        <w:t>% by £0.</w:t>
      </w:r>
      <w:r w:rsidR="001358A6">
        <w:rPr>
          <w:rFonts w:ascii="Arial" w:hAnsi="Arial" w:cs="Arial"/>
          <w:sz w:val="22"/>
          <w:szCs w:val="22"/>
        </w:rPr>
        <w:t>765</w:t>
      </w:r>
      <w:r w:rsidRPr="001358A6">
        <w:rPr>
          <w:rFonts w:ascii="Arial" w:hAnsi="Arial" w:cs="Arial"/>
          <w:sz w:val="22"/>
          <w:szCs w:val="22"/>
        </w:rPr>
        <w:t xml:space="preserve"> million.  The collection rate f</w:t>
      </w:r>
      <w:r w:rsidRPr="00C51DCE">
        <w:rPr>
          <w:rFonts w:ascii="Arial" w:hAnsi="Arial" w:cs="Arial"/>
          <w:sz w:val="22"/>
          <w:szCs w:val="22"/>
        </w:rPr>
        <w:t>or 2014/15 has moved on from 97.67% at the end of 2014/15 to 98.</w:t>
      </w:r>
      <w:r w:rsidR="001358A6" w:rsidRPr="00C51DCE">
        <w:rPr>
          <w:rFonts w:ascii="Arial" w:hAnsi="Arial" w:cs="Arial"/>
          <w:sz w:val="22"/>
          <w:szCs w:val="22"/>
        </w:rPr>
        <w:t>49</w:t>
      </w:r>
      <w:r w:rsidRPr="00C51DCE">
        <w:rPr>
          <w:rFonts w:ascii="Arial" w:hAnsi="Arial" w:cs="Arial"/>
          <w:sz w:val="22"/>
          <w:szCs w:val="22"/>
        </w:rPr>
        <w:t xml:space="preserve">% </w:t>
      </w:r>
      <w:r w:rsidR="001358A6" w:rsidRPr="00C51DCE">
        <w:rPr>
          <w:rFonts w:ascii="Arial" w:hAnsi="Arial" w:cs="Arial"/>
          <w:sz w:val="22"/>
          <w:szCs w:val="22"/>
        </w:rPr>
        <w:t>nine</w:t>
      </w:r>
      <w:r w:rsidRPr="00C51DCE">
        <w:rPr>
          <w:rFonts w:ascii="Arial" w:hAnsi="Arial" w:cs="Arial"/>
          <w:sz w:val="22"/>
          <w:szCs w:val="22"/>
        </w:rPr>
        <w:t xml:space="preserve"> months later.</w:t>
      </w:r>
    </w:p>
    <w:p w:rsidR="00784F77" w:rsidRPr="00C51DCE" w:rsidRDefault="00784F77" w:rsidP="00784F77">
      <w:pPr>
        <w:widowControl w:val="0"/>
        <w:autoSpaceDE w:val="0"/>
        <w:autoSpaceDN w:val="0"/>
        <w:adjustRightInd w:val="0"/>
        <w:ind w:left="709" w:hanging="425"/>
        <w:rPr>
          <w:rFonts w:ascii="Arial" w:hAnsi="Arial" w:cs="Arial"/>
          <w:sz w:val="22"/>
          <w:szCs w:val="22"/>
        </w:rPr>
      </w:pPr>
    </w:p>
    <w:p w:rsidR="0043556D" w:rsidRPr="00C51DCE" w:rsidRDefault="0043556D" w:rsidP="0043556D">
      <w:pPr>
        <w:widowControl w:val="0"/>
        <w:autoSpaceDE w:val="0"/>
        <w:autoSpaceDN w:val="0"/>
        <w:adjustRightInd w:val="0"/>
        <w:ind w:left="709" w:hanging="425"/>
        <w:rPr>
          <w:rFonts w:ascii="Arial" w:hAnsi="Arial" w:cs="Arial"/>
          <w:bCs/>
          <w:color w:val="000000"/>
          <w:sz w:val="22"/>
          <w:szCs w:val="22"/>
        </w:rPr>
      </w:pPr>
    </w:p>
    <w:p w:rsidR="0043556D" w:rsidRPr="00C51DCE" w:rsidRDefault="0043556D" w:rsidP="0043556D">
      <w:pPr>
        <w:widowControl w:val="0"/>
        <w:autoSpaceDE w:val="0"/>
        <w:autoSpaceDN w:val="0"/>
        <w:adjustRightInd w:val="0"/>
        <w:spacing w:after="120"/>
        <w:ind w:left="709" w:hanging="425"/>
        <w:rPr>
          <w:rFonts w:ascii="Arial" w:hAnsi="Arial" w:cs="Arial"/>
          <w:b/>
          <w:bCs/>
          <w:color w:val="000000"/>
          <w:sz w:val="22"/>
          <w:szCs w:val="22"/>
          <w:u w:val="single"/>
        </w:rPr>
      </w:pPr>
      <w:r w:rsidRPr="00C51DCE">
        <w:rPr>
          <w:rFonts w:ascii="Arial" w:hAnsi="Arial" w:cs="Arial"/>
          <w:b/>
          <w:bCs/>
          <w:color w:val="000000"/>
          <w:sz w:val="22"/>
          <w:szCs w:val="22"/>
        </w:rPr>
        <w:t>3.</w:t>
      </w:r>
      <w:r w:rsidRPr="00C51DCE">
        <w:rPr>
          <w:rFonts w:ascii="Arial" w:hAnsi="Arial" w:cs="Arial"/>
          <w:b/>
          <w:bCs/>
          <w:color w:val="000000"/>
          <w:sz w:val="22"/>
          <w:szCs w:val="22"/>
        </w:rPr>
        <w:tab/>
      </w:r>
      <w:r w:rsidRPr="00C51DCE">
        <w:rPr>
          <w:rFonts w:ascii="Arial" w:hAnsi="Arial" w:cs="Arial"/>
          <w:b/>
          <w:bCs/>
          <w:color w:val="000000"/>
          <w:sz w:val="22"/>
          <w:szCs w:val="22"/>
          <w:u w:val="single"/>
        </w:rPr>
        <w:t>Directorate Performance - Exceptions</w:t>
      </w:r>
    </w:p>
    <w:p w:rsidR="0043556D" w:rsidRPr="00C51DCE" w:rsidRDefault="0043556D" w:rsidP="0043556D">
      <w:pPr>
        <w:ind w:left="720"/>
        <w:rPr>
          <w:rFonts w:ascii="Arial" w:hAnsi="Arial" w:cs="Arial"/>
          <w:bCs/>
          <w:sz w:val="22"/>
          <w:szCs w:val="22"/>
        </w:rPr>
      </w:pPr>
    </w:p>
    <w:p w:rsidR="0043556D" w:rsidRPr="00C51DCE" w:rsidRDefault="009C116F" w:rsidP="0043556D">
      <w:pPr>
        <w:widowControl w:val="0"/>
        <w:autoSpaceDE w:val="0"/>
        <w:autoSpaceDN w:val="0"/>
        <w:adjustRightInd w:val="0"/>
        <w:ind w:left="720" w:hanging="11"/>
        <w:rPr>
          <w:rFonts w:ascii="Arial" w:hAnsi="Arial" w:cs="Arial"/>
          <w:b/>
          <w:bCs/>
          <w:color w:val="000000"/>
          <w:sz w:val="22"/>
          <w:szCs w:val="22"/>
        </w:rPr>
      </w:pPr>
      <w:r>
        <w:rPr>
          <w:rFonts w:ascii="Arial" w:hAnsi="Arial" w:cs="Arial"/>
          <w:b/>
          <w:bCs/>
          <w:color w:val="000000"/>
          <w:sz w:val="22"/>
          <w:szCs w:val="22"/>
        </w:rPr>
        <w:t>Business Improvement</w:t>
      </w:r>
    </w:p>
    <w:p w:rsidR="0043556D" w:rsidRPr="00C51DCE" w:rsidRDefault="0043556D" w:rsidP="0043556D">
      <w:pPr>
        <w:widowControl w:val="0"/>
        <w:autoSpaceDE w:val="0"/>
        <w:autoSpaceDN w:val="0"/>
        <w:adjustRightInd w:val="0"/>
        <w:ind w:left="720" w:hanging="11"/>
        <w:rPr>
          <w:rFonts w:ascii="Arial" w:hAnsi="Arial" w:cs="Arial"/>
          <w:b/>
          <w:bCs/>
          <w:color w:val="000000"/>
          <w:sz w:val="22"/>
          <w:szCs w:val="22"/>
        </w:rPr>
      </w:pPr>
    </w:p>
    <w:p w:rsidR="0043556D" w:rsidRPr="00C51DCE" w:rsidRDefault="00FC3179" w:rsidP="0043556D">
      <w:pPr>
        <w:widowControl w:val="0"/>
        <w:autoSpaceDE w:val="0"/>
        <w:autoSpaceDN w:val="0"/>
        <w:adjustRightInd w:val="0"/>
        <w:ind w:left="720" w:hanging="436"/>
        <w:rPr>
          <w:rFonts w:ascii="Arial" w:hAnsi="Arial" w:cs="Arial"/>
          <w:bCs/>
          <w:color w:val="000000"/>
          <w:sz w:val="22"/>
          <w:szCs w:val="22"/>
        </w:rPr>
      </w:pPr>
      <w:r w:rsidRPr="00C51DCE">
        <w:rPr>
          <w:rFonts w:ascii="Arial" w:hAnsi="Arial" w:cs="Arial"/>
          <w:bCs/>
          <w:color w:val="000000"/>
          <w:sz w:val="22"/>
          <w:szCs w:val="22"/>
        </w:rPr>
        <w:t>3.2</w:t>
      </w:r>
      <w:r w:rsidRPr="00C51DCE">
        <w:rPr>
          <w:rFonts w:ascii="Arial" w:hAnsi="Arial" w:cs="Arial"/>
          <w:bCs/>
          <w:color w:val="000000"/>
          <w:sz w:val="22"/>
          <w:szCs w:val="22"/>
        </w:rPr>
        <w:tab/>
      </w:r>
      <w:r w:rsidR="0043556D" w:rsidRPr="00C51DCE">
        <w:rPr>
          <w:rFonts w:ascii="Arial" w:hAnsi="Arial" w:cs="Arial"/>
          <w:bCs/>
          <w:color w:val="000000"/>
          <w:sz w:val="22"/>
          <w:szCs w:val="22"/>
        </w:rPr>
        <w:t xml:space="preserve">Days lost to sickness – Performance to </w:t>
      </w:r>
      <w:r w:rsidR="00694372" w:rsidRPr="00C51DCE">
        <w:rPr>
          <w:rFonts w:ascii="Arial" w:hAnsi="Arial" w:cs="Arial"/>
          <w:bCs/>
          <w:color w:val="000000"/>
          <w:sz w:val="22"/>
          <w:szCs w:val="22"/>
        </w:rPr>
        <w:t>December</w:t>
      </w:r>
      <w:r w:rsidR="0043556D" w:rsidRPr="00C51DCE">
        <w:rPr>
          <w:rFonts w:ascii="Arial" w:hAnsi="Arial" w:cs="Arial"/>
          <w:bCs/>
          <w:color w:val="000000"/>
          <w:sz w:val="22"/>
          <w:szCs w:val="22"/>
        </w:rPr>
        <w:t xml:space="preserve"> 2015 was at </w:t>
      </w:r>
      <w:r w:rsidR="00694372" w:rsidRPr="00C51DCE">
        <w:rPr>
          <w:rFonts w:ascii="Arial" w:hAnsi="Arial" w:cs="Arial"/>
          <w:bCs/>
          <w:color w:val="000000"/>
          <w:sz w:val="22"/>
          <w:szCs w:val="22"/>
        </w:rPr>
        <w:t>4.95</w:t>
      </w:r>
      <w:r w:rsidR="0043556D" w:rsidRPr="00C51DCE">
        <w:rPr>
          <w:rFonts w:ascii="Arial" w:hAnsi="Arial" w:cs="Arial"/>
          <w:bCs/>
          <w:color w:val="000000"/>
          <w:sz w:val="22"/>
          <w:szCs w:val="22"/>
        </w:rPr>
        <w:t xml:space="preserve"> days across the Council, just above the target of </w:t>
      </w:r>
      <w:r w:rsidR="00694372" w:rsidRPr="00C51DCE">
        <w:rPr>
          <w:rFonts w:ascii="Arial" w:hAnsi="Arial" w:cs="Arial"/>
          <w:bCs/>
          <w:color w:val="000000"/>
          <w:sz w:val="22"/>
          <w:szCs w:val="22"/>
        </w:rPr>
        <w:t>4.5</w:t>
      </w:r>
      <w:r w:rsidR="0043556D" w:rsidRPr="00C51DCE">
        <w:rPr>
          <w:rFonts w:ascii="Arial" w:hAnsi="Arial" w:cs="Arial"/>
          <w:bCs/>
          <w:color w:val="000000"/>
          <w:sz w:val="22"/>
          <w:szCs w:val="22"/>
        </w:rPr>
        <w:t xml:space="preserve"> days.</w:t>
      </w:r>
      <w:r w:rsidR="00694372" w:rsidRPr="00C51DCE">
        <w:rPr>
          <w:rFonts w:ascii="Arial" w:hAnsi="Arial" w:cs="Arial"/>
          <w:bCs/>
          <w:color w:val="000000"/>
          <w:sz w:val="22"/>
          <w:szCs w:val="22"/>
        </w:rPr>
        <w:t xml:space="preserve">  We are continuing to manage sickness tightly and supporting employees through well-being initiatives.  We will focus on the top 3 reasons for absence</w:t>
      </w:r>
      <w:r w:rsidR="00A904F2">
        <w:rPr>
          <w:rFonts w:ascii="Arial" w:hAnsi="Arial" w:cs="Arial"/>
          <w:bCs/>
          <w:color w:val="000000"/>
          <w:sz w:val="22"/>
          <w:szCs w:val="22"/>
        </w:rPr>
        <w:t xml:space="preserve">, which are Infections </w:t>
      </w:r>
      <w:proofErr w:type="spellStart"/>
      <w:r w:rsidR="00A904F2">
        <w:rPr>
          <w:rFonts w:ascii="Arial" w:hAnsi="Arial" w:cs="Arial"/>
          <w:bCs/>
          <w:color w:val="000000"/>
          <w:sz w:val="22"/>
          <w:szCs w:val="22"/>
        </w:rPr>
        <w:t>inc</w:t>
      </w:r>
      <w:proofErr w:type="spellEnd"/>
      <w:r w:rsidR="00A904F2">
        <w:rPr>
          <w:rFonts w:ascii="Arial" w:hAnsi="Arial" w:cs="Arial"/>
          <w:bCs/>
          <w:color w:val="000000"/>
          <w:sz w:val="22"/>
          <w:szCs w:val="22"/>
        </w:rPr>
        <w:t xml:space="preserve"> cold/flu; other </w:t>
      </w:r>
      <w:proofErr w:type="spellStart"/>
      <w:r w:rsidR="00A904F2">
        <w:rPr>
          <w:rFonts w:ascii="Arial" w:hAnsi="Arial" w:cs="Arial"/>
          <w:bCs/>
          <w:color w:val="000000"/>
          <w:sz w:val="22"/>
          <w:szCs w:val="22"/>
        </w:rPr>
        <w:t>musculo</w:t>
      </w:r>
      <w:proofErr w:type="spellEnd"/>
      <w:r w:rsidR="00A904F2">
        <w:rPr>
          <w:rFonts w:ascii="Arial" w:hAnsi="Arial" w:cs="Arial"/>
          <w:bCs/>
          <w:color w:val="000000"/>
          <w:sz w:val="22"/>
          <w:szCs w:val="22"/>
        </w:rPr>
        <w:t xml:space="preserve"> skeletal &amp; Stomach, liver, kidney &amp; digestion,</w:t>
      </w:r>
      <w:r w:rsidR="00694372" w:rsidRPr="00C51DCE">
        <w:rPr>
          <w:rFonts w:ascii="Arial" w:hAnsi="Arial" w:cs="Arial"/>
          <w:bCs/>
          <w:color w:val="000000"/>
          <w:sz w:val="22"/>
          <w:szCs w:val="22"/>
        </w:rPr>
        <w:t xml:space="preserve"> to see what further improvements can be made.</w:t>
      </w:r>
      <w:r w:rsidR="0043556D" w:rsidRPr="00C51DCE">
        <w:rPr>
          <w:rFonts w:ascii="Arial" w:hAnsi="Arial" w:cs="Arial"/>
          <w:bCs/>
          <w:color w:val="000000"/>
          <w:sz w:val="22"/>
          <w:szCs w:val="22"/>
        </w:rPr>
        <w:t xml:space="preserve"> </w:t>
      </w:r>
    </w:p>
    <w:p w:rsidR="0043556D" w:rsidRDefault="0043556D" w:rsidP="0043556D">
      <w:pPr>
        <w:widowControl w:val="0"/>
        <w:autoSpaceDE w:val="0"/>
        <w:autoSpaceDN w:val="0"/>
        <w:adjustRightInd w:val="0"/>
        <w:ind w:left="720" w:hanging="436"/>
        <w:rPr>
          <w:rFonts w:ascii="Arial" w:hAnsi="Arial" w:cs="Arial"/>
          <w:bCs/>
          <w:color w:val="000000"/>
          <w:sz w:val="22"/>
          <w:szCs w:val="22"/>
        </w:rPr>
      </w:pPr>
    </w:p>
    <w:p w:rsidR="009C116F" w:rsidRPr="00A904F2" w:rsidRDefault="009C116F" w:rsidP="0043556D">
      <w:pPr>
        <w:widowControl w:val="0"/>
        <w:autoSpaceDE w:val="0"/>
        <w:autoSpaceDN w:val="0"/>
        <w:adjustRightInd w:val="0"/>
        <w:ind w:left="720" w:hanging="436"/>
        <w:rPr>
          <w:rFonts w:ascii="Arial" w:hAnsi="Arial" w:cs="Arial"/>
          <w:b/>
          <w:bCs/>
          <w:color w:val="000000"/>
          <w:sz w:val="22"/>
          <w:szCs w:val="22"/>
        </w:rPr>
      </w:pPr>
      <w:r>
        <w:rPr>
          <w:rFonts w:ascii="Arial" w:hAnsi="Arial" w:cs="Arial"/>
          <w:bCs/>
          <w:color w:val="000000"/>
          <w:sz w:val="22"/>
          <w:szCs w:val="22"/>
        </w:rPr>
        <w:tab/>
      </w:r>
      <w:r w:rsidRPr="00A904F2">
        <w:rPr>
          <w:rFonts w:ascii="Arial" w:hAnsi="Arial" w:cs="Arial"/>
          <w:b/>
          <w:bCs/>
          <w:color w:val="000000"/>
          <w:sz w:val="22"/>
          <w:szCs w:val="22"/>
        </w:rPr>
        <w:t>Organisational Development</w:t>
      </w:r>
    </w:p>
    <w:p w:rsidR="009C116F" w:rsidRPr="00C51DCE" w:rsidRDefault="009C116F" w:rsidP="0043556D">
      <w:pPr>
        <w:widowControl w:val="0"/>
        <w:autoSpaceDE w:val="0"/>
        <w:autoSpaceDN w:val="0"/>
        <w:adjustRightInd w:val="0"/>
        <w:ind w:left="720" w:hanging="436"/>
        <w:rPr>
          <w:rFonts w:ascii="Arial" w:hAnsi="Arial" w:cs="Arial"/>
          <w:bCs/>
          <w:color w:val="000000"/>
          <w:sz w:val="22"/>
          <w:szCs w:val="22"/>
        </w:rPr>
      </w:pPr>
    </w:p>
    <w:p w:rsidR="0043556D" w:rsidRPr="00C51DCE" w:rsidRDefault="0043556D" w:rsidP="0043556D">
      <w:pPr>
        <w:widowControl w:val="0"/>
        <w:autoSpaceDE w:val="0"/>
        <w:autoSpaceDN w:val="0"/>
        <w:adjustRightInd w:val="0"/>
        <w:ind w:left="720" w:hanging="436"/>
        <w:rPr>
          <w:rFonts w:ascii="Arial" w:hAnsi="Arial" w:cs="Arial"/>
          <w:bCs/>
          <w:color w:val="000000"/>
          <w:sz w:val="22"/>
          <w:szCs w:val="22"/>
        </w:rPr>
      </w:pPr>
      <w:r w:rsidRPr="00C51DCE">
        <w:rPr>
          <w:rFonts w:ascii="Arial" w:hAnsi="Arial" w:cs="Arial"/>
          <w:bCs/>
          <w:color w:val="000000"/>
          <w:sz w:val="22"/>
          <w:szCs w:val="22"/>
        </w:rPr>
        <w:t>3.3</w:t>
      </w:r>
      <w:r w:rsidRPr="00C51DCE">
        <w:rPr>
          <w:rFonts w:ascii="Arial" w:hAnsi="Arial" w:cs="Arial"/>
          <w:bCs/>
          <w:color w:val="000000"/>
          <w:sz w:val="22"/>
          <w:szCs w:val="22"/>
        </w:rPr>
        <w:tab/>
        <w:t xml:space="preserve">Percentage of employees with a disability – </w:t>
      </w:r>
      <w:r w:rsidR="007B3D18" w:rsidRPr="00C51DCE">
        <w:rPr>
          <w:rFonts w:ascii="Arial" w:hAnsi="Arial" w:cs="Arial"/>
          <w:bCs/>
          <w:color w:val="000000"/>
          <w:sz w:val="22"/>
          <w:szCs w:val="22"/>
        </w:rPr>
        <w:t xml:space="preserve">at </w:t>
      </w:r>
      <w:r w:rsidR="00694372" w:rsidRPr="00C51DCE">
        <w:rPr>
          <w:rFonts w:ascii="Arial" w:hAnsi="Arial" w:cs="Arial"/>
          <w:bCs/>
          <w:color w:val="000000"/>
          <w:sz w:val="22"/>
          <w:szCs w:val="22"/>
        </w:rPr>
        <w:t>December</w:t>
      </w:r>
      <w:r w:rsidR="007B3D18" w:rsidRPr="00C51DCE">
        <w:rPr>
          <w:rFonts w:ascii="Arial" w:hAnsi="Arial" w:cs="Arial"/>
          <w:bCs/>
          <w:color w:val="000000"/>
          <w:sz w:val="22"/>
          <w:szCs w:val="22"/>
        </w:rPr>
        <w:t xml:space="preserve"> 2015, 8.</w:t>
      </w:r>
      <w:r w:rsidR="00694372" w:rsidRPr="00C51DCE">
        <w:rPr>
          <w:rFonts w:ascii="Arial" w:hAnsi="Arial" w:cs="Arial"/>
          <w:bCs/>
          <w:color w:val="000000"/>
          <w:sz w:val="22"/>
          <w:szCs w:val="22"/>
        </w:rPr>
        <w:t>45</w:t>
      </w:r>
      <w:r w:rsidRPr="00C51DCE">
        <w:rPr>
          <w:rFonts w:ascii="Arial" w:hAnsi="Arial" w:cs="Arial"/>
          <w:bCs/>
          <w:color w:val="000000"/>
          <w:sz w:val="22"/>
          <w:szCs w:val="22"/>
        </w:rPr>
        <w:t xml:space="preserve">% of staff </w:t>
      </w:r>
      <w:proofErr w:type="gramStart"/>
      <w:r w:rsidRPr="00C51DCE">
        <w:rPr>
          <w:rFonts w:ascii="Arial" w:hAnsi="Arial" w:cs="Arial"/>
          <w:bCs/>
          <w:color w:val="000000"/>
          <w:sz w:val="22"/>
          <w:szCs w:val="22"/>
        </w:rPr>
        <w:t>were</w:t>
      </w:r>
      <w:proofErr w:type="gramEnd"/>
      <w:r w:rsidRPr="00C51DCE">
        <w:rPr>
          <w:rFonts w:ascii="Arial" w:hAnsi="Arial" w:cs="Arial"/>
          <w:bCs/>
          <w:color w:val="000000"/>
          <w:sz w:val="22"/>
          <w:szCs w:val="22"/>
        </w:rPr>
        <w:t xml:space="preserve"> identified as having a disability, against a target of 10%. </w:t>
      </w:r>
      <w:r w:rsidR="00694372" w:rsidRPr="00C51DCE">
        <w:rPr>
          <w:rFonts w:ascii="Arial" w:hAnsi="Arial" w:cs="Arial"/>
          <w:bCs/>
          <w:color w:val="000000"/>
          <w:sz w:val="22"/>
          <w:szCs w:val="22"/>
        </w:rPr>
        <w:t xml:space="preserve">Numbers remain fairly </w:t>
      </w:r>
      <w:r w:rsidR="00C51DCE" w:rsidRPr="00C51DCE">
        <w:rPr>
          <w:rFonts w:ascii="Arial" w:hAnsi="Arial" w:cs="Arial"/>
          <w:bCs/>
          <w:color w:val="000000"/>
          <w:sz w:val="22"/>
          <w:szCs w:val="22"/>
        </w:rPr>
        <w:t>consistent, with little movement.  HR &amp; Payroll will be running a gap analysis in early 2016</w:t>
      </w:r>
      <w:r w:rsidR="00A6362F">
        <w:rPr>
          <w:rFonts w:ascii="Arial" w:hAnsi="Arial" w:cs="Arial"/>
          <w:bCs/>
          <w:color w:val="000000"/>
          <w:sz w:val="22"/>
          <w:szCs w:val="22"/>
        </w:rPr>
        <w:t xml:space="preserve"> </w:t>
      </w:r>
      <w:r w:rsidR="00C51DCE" w:rsidRPr="00C51DCE">
        <w:rPr>
          <w:rFonts w:ascii="Arial" w:hAnsi="Arial" w:cs="Arial"/>
          <w:bCs/>
          <w:color w:val="000000"/>
          <w:sz w:val="22"/>
          <w:szCs w:val="22"/>
        </w:rPr>
        <w:t xml:space="preserve">around where staff have not reported anything and will look to ensure that data </w:t>
      </w:r>
      <w:r w:rsidR="00C51DCE" w:rsidRPr="00C51DCE">
        <w:rPr>
          <w:rFonts w:ascii="Arial" w:hAnsi="Arial" w:cs="Arial"/>
          <w:bCs/>
          <w:color w:val="000000"/>
          <w:sz w:val="22"/>
          <w:szCs w:val="22"/>
        </w:rPr>
        <w:lastRenderedPageBreak/>
        <w:t>gaps are explained.  An analysis of the current data also suggests that some information might be mistakenly uploaded as a disability which might more appropriately be seen as a temporary medical condition which isn’t covered by the Equality Act 2010.</w:t>
      </w:r>
    </w:p>
    <w:p w:rsidR="0043556D" w:rsidRPr="00793419" w:rsidRDefault="007B3D18" w:rsidP="007B3D18">
      <w:pPr>
        <w:widowControl w:val="0"/>
        <w:tabs>
          <w:tab w:val="left" w:pos="2385"/>
        </w:tabs>
        <w:autoSpaceDE w:val="0"/>
        <w:autoSpaceDN w:val="0"/>
        <w:adjustRightInd w:val="0"/>
        <w:ind w:left="720" w:hanging="436"/>
        <w:rPr>
          <w:rFonts w:ascii="Arial" w:hAnsi="Arial" w:cs="Arial"/>
          <w:bCs/>
          <w:color w:val="000000"/>
          <w:sz w:val="22"/>
          <w:szCs w:val="22"/>
        </w:rPr>
      </w:pPr>
      <w:r w:rsidRPr="00A330AA">
        <w:rPr>
          <w:rFonts w:ascii="Arial" w:hAnsi="Arial" w:cs="Arial"/>
          <w:bCs/>
          <w:i/>
          <w:color w:val="000000"/>
          <w:sz w:val="22"/>
          <w:szCs w:val="22"/>
        </w:rPr>
        <w:tab/>
      </w:r>
      <w:r w:rsidRPr="00793419">
        <w:rPr>
          <w:rFonts w:ascii="Arial" w:hAnsi="Arial" w:cs="Arial"/>
          <w:bCs/>
          <w:color w:val="000000"/>
          <w:sz w:val="22"/>
          <w:szCs w:val="22"/>
        </w:rPr>
        <w:tab/>
      </w:r>
    </w:p>
    <w:p w:rsidR="0043556D" w:rsidRPr="00793419" w:rsidRDefault="0043556D" w:rsidP="0043556D">
      <w:pPr>
        <w:widowControl w:val="0"/>
        <w:autoSpaceDE w:val="0"/>
        <w:autoSpaceDN w:val="0"/>
        <w:adjustRightInd w:val="0"/>
        <w:ind w:left="720" w:hanging="436"/>
        <w:rPr>
          <w:rFonts w:ascii="Arial" w:hAnsi="Arial" w:cs="Arial"/>
          <w:bCs/>
          <w:color w:val="000000"/>
          <w:sz w:val="22"/>
          <w:szCs w:val="22"/>
        </w:rPr>
      </w:pPr>
      <w:r w:rsidRPr="00793419">
        <w:rPr>
          <w:rFonts w:ascii="Arial" w:hAnsi="Arial" w:cs="Arial"/>
          <w:bCs/>
          <w:color w:val="000000"/>
          <w:sz w:val="22"/>
          <w:szCs w:val="22"/>
        </w:rPr>
        <w:t>3.4</w:t>
      </w:r>
      <w:r w:rsidRPr="00793419">
        <w:rPr>
          <w:rFonts w:ascii="Arial" w:hAnsi="Arial" w:cs="Arial"/>
          <w:bCs/>
          <w:color w:val="000000"/>
          <w:sz w:val="22"/>
          <w:szCs w:val="22"/>
        </w:rPr>
        <w:tab/>
        <w:t xml:space="preserve">Percentage of black and ethnic minority employees – </w:t>
      </w:r>
      <w:r w:rsidR="00793419" w:rsidRPr="00793419">
        <w:rPr>
          <w:rFonts w:ascii="Arial" w:hAnsi="Arial" w:cs="Arial"/>
          <w:bCs/>
          <w:color w:val="000000"/>
          <w:sz w:val="22"/>
          <w:szCs w:val="22"/>
        </w:rPr>
        <w:t xml:space="preserve">the reported figure of 7.8% for December 2015 is the highest for the past five years and represents an increase of 0.7% on the previous year.  Despite this, it fell short of our target of 9%.  BME application rates are at their highest, averaging 22% for the year to date.  HR and Payroll will be looking to follow up all continued data gaps early in 2016 to ensure that </w:t>
      </w:r>
      <w:proofErr w:type="gramStart"/>
      <w:r w:rsidR="00793419" w:rsidRPr="00793419">
        <w:rPr>
          <w:rFonts w:ascii="Arial" w:hAnsi="Arial" w:cs="Arial"/>
          <w:bCs/>
          <w:color w:val="000000"/>
          <w:sz w:val="22"/>
          <w:szCs w:val="22"/>
        </w:rPr>
        <w:t>staff are</w:t>
      </w:r>
      <w:proofErr w:type="gramEnd"/>
      <w:r w:rsidR="00793419" w:rsidRPr="00793419">
        <w:rPr>
          <w:rFonts w:ascii="Arial" w:hAnsi="Arial" w:cs="Arial"/>
          <w:bCs/>
          <w:color w:val="000000"/>
          <w:sz w:val="22"/>
          <w:szCs w:val="22"/>
        </w:rPr>
        <w:t xml:space="preserve"> reminded to complete their self-declarations.</w:t>
      </w:r>
    </w:p>
    <w:p w:rsidR="0043556D" w:rsidRPr="00E326BA" w:rsidRDefault="0043556D" w:rsidP="0043556D">
      <w:pPr>
        <w:widowControl w:val="0"/>
        <w:autoSpaceDE w:val="0"/>
        <w:autoSpaceDN w:val="0"/>
        <w:adjustRightInd w:val="0"/>
        <w:ind w:left="720" w:hanging="11"/>
        <w:rPr>
          <w:rFonts w:ascii="Arial" w:hAnsi="Arial" w:cs="Arial"/>
          <w:bCs/>
          <w:color w:val="000000"/>
          <w:sz w:val="22"/>
          <w:szCs w:val="22"/>
        </w:rPr>
      </w:pPr>
    </w:p>
    <w:p w:rsidR="0043556D" w:rsidRPr="00E326BA" w:rsidRDefault="0043556D" w:rsidP="0043556D">
      <w:pPr>
        <w:widowControl w:val="0"/>
        <w:autoSpaceDE w:val="0"/>
        <w:autoSpaceDN w:val="0"/>
        <w:adjustRightInd w:val="0"/>
        <w:ind w:left="709"/>
        <w:rPr>
          <w:rFonts w:ascii="Arial" w:hAnsi="Arial" w:cs="Arial"/>
          <w:b/>
          <w:bCs/>
          <w:color w:val="000000"/>
          <w:sz w:val="22"/>
          <w:szCs w:val="22"/>
        </w:rPr>
      </w:pPr>
      <w:r w:rsidRPr="00E326BA">
        <w:rPr>
          <w:rFonts w:ascii="Arial" w:hAnsi="Arial" w:cs="Arial"/>
          <w:b/>
          <w:bCs/>
          <w:color w:val="000000"/>
          <w:sz w:val="22"/>
          <w:szCs w:val="22"/>
        </w:rPr>
        <w:t>Financial Services</w:t>
      </w:r>
    </w:p>
    <w:p w:rsidR="0043556D" w:rsidRPr="00F5479F" w:rsidRDefault="0043556D" w:rsidP="0043556D">
      <w:pPr>
        <w:widowControl w:val="0"/>
        <w:autoSpaceDE w:val="0"/>
        <w:autoSpaceDN w:val="0"/>
        <w:adjustRightInd w:val="0"/>
        <w:ind w:left="709"/>
        <w:rPr>
          <w:rFonts w:ascii="Arial" w:hAnsi="Arial" w:cs="Arial"/>
          <w:b/>
          <w:bCs/>
          <w:i/>
          <w:color w:val="000000"/>
          <w:sz w:val="22"/>
          <w:szCs w:val="22"/>
        </w:rPr>
      </w:pPr>
    </w:p>
    <w:p w:rsidR="0043556D" w:rsidRPr="00E326BA" w:rsidRDefault="0043556D" w:rsidP="0043556D">
      <w:pPr>
        <w:widowControl w:val="0"/>
        <w:autoSpaceDE w:val="0"/>
        <w:autoSpaceDN w:val="0"/>
        <w:adjustRightInd w:val="0"/>
        <w:ind w:left="720" w:hanging="436"/>
        <w:rPr>
          <w:rFonts w:ascii="Arial" w:hAnsi="Arial" w:cs="Arial"/>
          <w:bCs/>
          <w:color w:val="000000"/>
          <w:sz w:val="22"/>
          <w:szCs w:val="22"/>
        </w:rPr>
      </w:pPr>
      <w:r w:rsidRPr="00F5479F">
        <w:rPr>
          <w:rFonts w:ascii="Arial" w:hAnsi="Arial" w:cs="Arial"/>
          <w:bCs/>
          <w:i/>
          <w:color w:val="000000"/>
          <w:sz w:val="22"/>
          <w:szCs w:val="22"/>
        </w:rPr>
        <w:t>3.5</w:t>
      </w:r>
      <w:r w:rsidRPr="00E326BA">
        <w:rPr>
          <w:rFonts w:ascii="Arial" w:hAnsi="Arial" w:cs="Arial"/>
          <w:bCs/>
          <w:color w:val="000000"/>
          <w:sz w:val="22"/>
          <w:szCs w:val="22"/>
        </w:rPr>
        <w:tab/>
      </w:r>
      <w:r w:rsidR="00C77607" w:rsidRPr="00E326BA">
        <w:rPr>
          <w:rFonts w:ascii="Arial" w:hAnsi="Arial" w:cs="Arial"/>
          <w:bCs/>
          <w:color w:val="000000"/>
          <w:sz w:val="22"/>
          <w:szCs w:val="22"/>
        </w:rPr>
        <w:t>Average number of days to manage open tenders – performance at December 2015 was at 185 days against a target of 120 days.  This is due to one of the two procurement</w:t>
      </w:r>
      <w:r w:rsidR="00E326BA">
        <w:rPr>
          <w:rFonts w:ascii="Arial" w:hAnsi="Arial" w:cs="Arial"/>
          <w:bCs/>
          <w:color w:val="000000"/>
          <w:sz w:val="22"/>
          <w:szCs w:val="22"/>
        </w:rPr>
        <w:t>s</w:t>
      </w:r>
      <w:r w:rsidR="00C77607" w:rsidRPr="00E326BA">
        <w:rPr>
          <w:rFonts w:ascii="Arial" w:hAnsi="Arial" w:cs="Arial"/>
          <w:bCs/>
          <w:color w:val="000000"/>
          <w:sz w:val="22"/>
          <w:szCs w:val="22"/>
        </w:rPr>
        <w:t xml:space="preserve"> counted being </w:t>
      </w:r>
      <w:r w:rsidR="000169E7">
        <w:rPr>
          <w:rFonts w:ascii="Arial" w:hAnsi="Arial" w:cs="Arial"/>
          <w:bCs/>
          <w:color w:val="000000"/>
          <w:sz w:val="22"/>
          <w:szCs w:val="22"/>
        </w:rPr>
        <w:t>extended</w:t>
      </w:r>
      <w:r w:rsidR="00A609C8">
        <w:rPr>
          <w:rFonts w:ascii="Arial" w:hAnsi="Arial" w:cs="Arial"/>
          <w:bCs/>
          <w:color w:val="000000"/>
          <w:sz w:val="22"/>
          <w:szCs w:val="22"/>
        </w:rPr>
        <w:t xml:space="preserve"> to ensure that </w:t>
      </w:r>
      <w:r w:rsidR="000169E7">
        <w:rPr>
          <w:rFonts w:ascii="Arial" w:hAnsi="Arial" w:cs="Arial"/>
          <w:bCs/>
          <w:color w:val="000000"/>
          <w:sz w:val="22"/>
          <w:szCs w:val="22"/>
        </w:rPr>
        <w:t>the tender evaluation was sufficiently robust</w:t>
      </w:r>
      <w:r w:rsidR="00EB2D70" w:rsidRPr="00E326BA">
        <w:rPr>
          <w:rFonts w:ascii="Arial" w:hAnsi="Arial" w:cs="Arial"/>
          <w:bCs/>
          <w:color w:val="000000"/>
          <w:sz w:val="22"/>
          <w:szCs w:val="22"/>
        </w:rPr>
        <w:t xml:space="preserve">. </w:t>
      </w:r>
    </w:p>
    <w:p w:rsidR="00FC3179" w:rsidRPr="00E326BA" w:rsidRDefault="00FC3179" w:rsidP="0043556D">
      <w:pPr>
        <w:widowControl w:val="0"/>
        <w:autoSpaceDE w:val="0"/>
        <w:autoSpaceDN w:val="0"/>
        <w:adjustRightInd w:val="0"/>
        <w:ind w:left="720" w:hanging="436"/>
        <w:rPr>
          <w:rFonts w:ascii="Arial" w:hAnsi="Arial" w:cs="Arial"/>
          <w:bCs/>
          <w:color w:val="000000"/>
          <w:sz w:val="22"/>
          <w:szCs w:val="22"/>
        </w:rPr>
      </w:pPr>
    </w:p>
    <w:p w:rsidR="00FC3179" w:rsidRPr="00E326BA" w:rsidRDefault="00FC3179" w:rsidP="0043556D">
      <w:pPr>
        <w:widowControl w:val="0"/>
        <w:autoSpaceDE w:val="0"/>
        <w:autoSpaceDN w:val="0"/>
        <w:adjustRightInd w:val="0"/>
        <w:ind w:left="720" w:hanging="436"/>
        <w:rPr>
          <w:rFonts w:ascii="Arial" w:hAnsi="Arial" w:cs="Arial"/>
          <w:bCs/>
          <w:color w:val="000000"/>
          <w:sz w:val="22"/>
          <w:szCs w:val="22"/>
        </w:rPr>
      </w:pPr>
      <w:r w:rsidRPr="00E326BA">
        <w:rPr>
          <w:rFonts w:ascii="Arial" w:hAnsi="Arial" w:cs="Arial"/>
          <w:bCs/>
          <w:color w:val="000000"/>
          <w:sz w:val="22"/>
          <w:szCs w:val="22"/>
        </w:rPr>
        <w:t>3.6</w:t>
      </w:r>
      <w:r w:rsidRPr="00E326BA">
        <w:rPr>
          <w:rFonts w:ascii="Arial" w:hAnsi="Arial" w:cs="Arial"/>
          <w:bCs/>
          <w:color w:val="000000"/>
          <w:sz w:val="22"/>
          <w:szCs w:val="22"/>
        </w:rPr>
        <w:tab/>
        <w:t>Percentage of invoices paid on time –</w:t>
      </w:r>
      <w:r w:rsidR="00ED734E" w:rsidRPr="00E326BA">
        <w:rPr>
          <w:rFonts w:ascii="Arial" w:hAnsi="Arial" w:cs="Arial"/>
          <w:bCs/>
          <w:color w:val="000000"/>
          <w:sz w:val="22"/>
          <w:szCs w:val="22"/>
        </w:rPr>
        <w:t xml:space="preserve">year to date performance at </w:t>
      </w:r>
      <w:r w:rsidR="00C77607" w:rsidRPr="00E326BA">
        <w:rPr>
          <w:rFonts w:ascii="Arial" w:hAnsi="Arial" w:cs="Arial"/>
          <w:bCs/>
          <w:color w:val="000000"/>
          <w:sz w:val="22"/>
          <w:szCs w:val="22"/>
        </w:rPr>
        <w:t>December</w:t>
      </w:r>
      <w:r w:rsidR="00E326BA" w:rsidRPr="00E326BA">
        <w:rPr>
          <w:rFonts w:ascii="Arial" w:hAnsi="Arial" w:cs="Arial"/>
          <w:bCs/>
          <w:color w:val="000000"/>
          <w:sz w:val="22"/>
          <w:szCs w:val="22"/>
        </w:rPr>
        <w:t xml:space="preserve"> was 85</w:t>
      </w:r>
      <w:r w:rsidR="00ED734E" w:rsidRPr="00E326BA">
        <w:rPr>
          <w:rFonts w:ascii="Arial" w:hAnsi="Arial" w:cs="Arial"/>
          <w:bCs/>
          <w:color w:val="000000"/>
          <w:sz w:val="22"/>
          <w:szCs w:val="22"/>
        </w:rPr>
        <w:t>.</w:t>
      </w:r>
      <w:r w:rsidR="00E326BA" w:rsidRPr="00E326BA">
        <w:rPr>
          <w:rFonts w:ascii="Arial" w:hAnsi="Arial" w:cs="Arial"/>
          <w:bCs/>
          <w:color w:val="000000"/>
          <w:sz w:val="22"/>
          <w:szCs w:val="22"/>
        </w:rPr>
        <w:t>4</w:t>
      </w:r>
      <w:r w:rsidR="00ED734E" w:rsidRPr="00E326BA">
        <w:rPr>
          <w:rFonts w:ascii="Arial" w:hAnsi="Arial" w:cs="Arial"/>
          <w:bCs/>
          <w:color w:val="000000"/>
          <w:sz w:val="22"/>
          <w:szCs w:val="22"/>
        </w:rPr>
        <w:t>% against a target of 98%.</w:t>
      </w:r>
      <w:r w:rsidR="00E326BA" w:rsidRPr="00E326BA">
        <w:rPr>
          <w:rFonts w:ascii="Arial" w:hAnsi="Arial" w:cs="Arial"/>
          <w:bCs/>
          <w:color w:val="000000"/>
          <w:sz w:val="22"/>
          <w:szCs w:val="22"/>
        </w:rPr>
        <w:t xml:space="preserve">  A workshop in January was held to discuss performance and to try to identify </w:t>
      </w:r>
      <w:r w:rsidR="003847B9">
        <w:rPr>
          <w:rFonts w:ascii="Arial" w:hAnsi="Arial" w:cs="Arial"/>
          <w:bCs/>
          <w:color w:val="000000"/>
          <w:sz w:val="22"/>
          <w:szCs w:val="22"/>
        </w:rPr>
        <w:t>how performance can be improved</w:t>
      </w:r>
      <w:r w:rsidR="00EB2D70" w:rsidRPr="00E326BA">
        <w:rPr>
          <w:rFonts w:ascii="Arial" w:hAnsi="Arial" w:cs="Arial"/>
          <w:bCs/>
          <w:color w:val="000000"/>
          <w:sz w:val="22"/>
          <w:szCs w:val="22"/>
        </w:rPr>
        <w:t>.</w:t>
      </w:r>
    </w:p>
    <w:p w:rsidR="00FC3179" w:rsidRPr="00E326BA" w:rsidRDefault="00FC3179" w:rsidP="0043556D">
      <w:pPr>
        <w:widowControl w:val="0"/>
        <w:autoSpaceDE w:val="0"/>
        <w:autoSpaceDN w:val="0"/>
        <w:adjustRightInd w:val="0"/>
        <w:ind w:left="720" w:hanging="436"/>
        <w:rPr>
          <w:rFonts w:ascii="Arial" w:hAnsi="Arial" w:cs="Arial"/>
          <w:bCs/>
          <w:color w:val="000000"/>
          <w:sz w:val="22"/>
          <w:szCs w:val="22"/>
        </w:rPr>
      </w:pPr>
    </w:p>
    <w:p w:rsidR="00FC3179" w:rsidRPr="00E326BA" w:rsidRDefault="00FC3179" w:rsidP="0043556D">
      <w:pPr>
        <w:widowControl w:val="0"/>
        <w:autoSpaceDE w:val="0"/>
        <w:autoSpaceDN w:val="0"/>
        <w:adjustRightInd w:val="0"/>
        <w:ind w:left="720" w:hanging="436"/>
        <w:rPr>
          <w:rFonts w:ascii="Arial" w:hAnsi="Arial" w:cs="Arial"/>
          <w:bCs/>
          <w:color w:val="000000"/>
          <w:sz w:val="22"/>
          <w:szCs w:val="22"/>
        </w:rPr>
      </w:pPr>
      <w:r w:rsidRPr="00E326BA">
        <w:rPr>
          <w:rFonts w:ascii="Arial" w:hAnsi="Arial" w:cs="Arial"/>
          <w:bCs/>
          <w:color w:val="000000"/>
          <w:sz w:val="22"/>
          <w:szCs w:val="22"/>
        </w:rPr>
        <w:t>3.7</w:t>
      </w:r>
      <w:r w:rsidRPr="00E326BA">
        <w:rPr>
          <w:rFonts w:ascii="Arial" w:hAnsi="Arial" w:cs="Arial"/>
          <w:bCs/>
          <w:color w:val="000000"/>
          <w:sz w:val="22"/>
          <w:szCs w:val="22"/>
        </w:rPr>
        <w:tab/>
        <w:t xml:space="preserve">Time to process new benefits claims - </w:t>
      </w:r>
      <w:r w:rsidR="007B3D18" w:rsidRPr="00E326BA">
        <w:rPr>
          <w:rFonts w:ascii="Arial" w:hAnsi="Arial" w:cs="Arial"/>
          <w:bCs/>
          <w:color w:val="000000"/>
          <w:sz w:val="22"/>
          <w:szCs w:val="22"/>
        </w:rPr>
        <w:t xml:space="preserve">performance for </w:t>
      </w:r>
      <w:r w:rsidR="00E326BA" w:rsidRPr="00E326BA">
        <w:rPr>
          <w:rFonts w:ascii="Arial" w:hAnsi="Arial" w:cs="Arial"/>
          <w:bCs/>
          <w:color w:val="000000"/>
          <w:sz w:val="22"/>
          <w:szCs w:val="22"/>
        </w:rPr>
        <w:t>December was 15.51 days against a target of 14 days.  During December, 252 applications were processed in an average of 8.39 days.  This is our best monthly result in 2015/16 to date and the second consecutive when we have been within the challenging target of 14 days.  Continued good performance over the next three months will see us close to the 14 day target by year end</w:t>
      </w:r>
      <w:r w:rsidR="007B3D18" w:rsidRPr="00E326BA">
        <w:rPr>
          <w:rFonts w:ascii="Arial" w:hAnsi="Arial" w:cs="Arial"/>
          <w:bCs/>
          <w:color w:val="000000"/>
          <w:sz w:val="22"/>
          <w:szCs w:val="22"/>
        </w:rPr>
        <w:t>.</w:t>
      </w:r>
      <w:r w:rsidRPr="00E326BA">
        <w:rPr>
          <w:rFonts w:ascii="Arial" w:hAnsi="Arial" w:cs="Arial"/>
          <w:bCs/>
          <w:color w:val="000000"/>
          <w:sz w:val="22"/>
          <w:szCs w:val="22"/>
        </w:rPr>
        <w:tab/>
      </w:r>
    </w:p>
    <w:p w:rsidR="003E681A" w:rsidRPr="00F5479F" w:rsidRDefault="003E681A" w:rsidP="0043556D">
      <w:pPr>
        <w:widowControl w:val="0"/>
        <w:autoSpaceDE w:val="0"/>
        <w:autoSpaceDN w:val="0"/>
        <w:adjustRightInd w:val="0"/>
        <w:ind w:left="720" w:hanging="436"/>
        <w:rPr>
          <w:rFonts w:ascii="Arial" w:hAnsi="Arial" w:cs="Arial"/>
          <w:bCs/>
          <w:i/>
          <w:color w:val="000000"/>
          <w:sz w:val="22"/>
          <w:szCs w:val="22"/>
        </w:rPr>
      </w:pPr>
    </w:p>
    <w:p w:rsidR="00EB2D70" w:rsidRPr="00396DD1" w:rsidRDefault="00EB2D70" w:rsidP="00EB2D70">
      <w:pPr>
        <w:widowControl w:val="0"/>
        <w:autoSpaceDE w:val="0"/>
        <w:autoSpaceDN w:val="0"/>
        <w:adjustRightInd w:val="0"/>
        <w:ind w:left="709"/>
        <w:rPr>
          <w:rFonts w:ascii="Arial" w:hAnsi="Arial" w:cs="Arial"/>
          <w:b/>
          <w:bCs/>
          <w:color w:val="000000"/>
          <w:sz w:val="22"/>
          <w:szCs w:val="22"/>
        </w:rPr>
      </w:pPr>
      <w:r w:rsidRPr="00396DD1">
        <w:rPr>
          <w:rFonts w:ascii="Arial" w:hAnsi="Arial" w:cs="Arial"/>
          <w:b/>
          <w:bCs/>
          <w:color w:val="000000"/>
          <w:sz w:val="22"/>
          <w:szCs w:val="22"/>
        </w:rPr>
        <w:t>Business Improvement</w:t>
      </w:r>
    </w:p>
    <w:p w:rsidR="00EB2D70" w:rsidRPr="00396DD1" w:rsidRDefault="00EB2D70" w:rsidP="00EB2D70">
      <w:pPr>
        <w:widowControl w:val="0"/>
        <w:autoSpaceDE w:val="0"/>
        <w:autoSpaceDN w:val="0"/>
        <w:adjustRightInd w:val="0"/>
        <w:rPr>
          <w:rFonts w:ascii="Arial" w:hAnsi="Arial" w:cs="Arial"/>
          <w:b/>
          <w:bCs/>
          <w:color w:val="000000"/>
          <w:sz w:val="22"/>
          <w:szCs w:val="22"/>
        </w:rPr>
      </w:pPr>
    </w:p>
    <w:p w:rsidR="00E326BA" w:rsidRPr="00396DD1" w:rsidRDefault="00EB2D70" w:rsidP="00EB2D70">
      <w:pPr>
        <w:widowControl w:val="0"/>
        <w:autoSpaceDE w:val="0"/>
        <w:autoSpaceDN w:val="0"/>
        <w:adjustRightInd w:val="0"/>
        <w:ind w:left="720" w:hanging="436"/>
        <w:rPr>
          <w:rFonts w:ascii="Arial" w:hAnsi="Arial" w:cs="Arial"/>
          <w:bCs/>
          <w:color w:val="000000"/>
          <w:sz w:val="22"/>
          <w:szCs w:val="22"/>
        </w:rPr>
      </w:pPr>
      <w:r w:rsidRPr="00396DD1">
        <w:rPr>
          <w:rFonts w:ascii="Arial" w:hAnsi="Arial" w:cs="Arial"/>
          <w:bCs/>
          <w:color w:val="000000"/>
          <w:sz w:val="22"/>
          <w:szCs w:val="22"/>
        </w:rPr>
        <w:t>3.8</w:t>
      </w:r>
      <w:r w:rsidRPr="00396DD1">
        <w:rPr>
          <w:rFonts w:ascii="Arial" w:hAnsi="Arial" w:cs="Arial"/>
          <w:bCs/>
          <w:color w:val="000000"/>
          <w:sz w:val="22"/>
          <w:szCs w:val="22"/>
        </w:rPr>
        <w:tab/>
        <w:t xml:space="preserve">Percentage of customers getting through first time on council main lines – year to date performance in </w:t>
      </w:r>
      <w:r w:rsidR="00E326BA" w:rsidRPr="00396DD1">
        <w:rPr>
          <w:rFonts w:ascii="Arial" w:hAnsi="Arial" w:cs="Arial"/>
          <w:bCs/>
          <w:color w:val="000000"/>
          <w:sz w:val="22"/>
          <w:szCs w:val="22"/>
        </w:rPr>
        <w:t>December</w:t>
      </w:r>
      <w:r w:rsidRPr="00396DD1">
        <w:rPr>
          <w:rFonts w:ascii="Arial" w:hAnsi="Arial" w:cs="Arial"/>
          <w:bCs/>
          <w:color w:val="000000"/>
          <w:sz w:val="22"/>
          <w:szCs w:val="22"/>
        </w:rPr>
        <w:t xml:space="preserve"> was </w:t>
      </w:r>
      <w:r w:rsidR="00E326BA" w:rsidRPr="00396DD1">
        <w:rPr>
          <w:rFonts w:ascii="Arial" w:hAnsi="Arial" w:cs="Arial"/>
          <w:bCs/>
          <w:color w:val="000000"/>
          <w:sz w:val="22"/>
          <w:szCs w:val="22"/>
        </w:rPr>
        <w:t>93.6</w:t>
      </w:r>
      <w:r w:rsidRPr="00396DD1">
        <w:rPr>
          <w:rFonts w:ascii="Arial" w:hAnsi="Arial" w:cs="Arial"/>
          <w:bCs/>
          <w:color w:val="000000"/>
          <w:sz w:val="22"/>
          <w:szCs w:val="22"/>
        </w:rPr>
        <w:t>% against a target of 95%.</w:t>
      </w:r>
      <w:r w:rsidR="00E326BA" w:rsidRPr="00396DD1">
        <w:rPr>
          <w:rFonts w:ascii="Arial" w:hAnsi="Arial" w:cs="Arial"/>
          <w:bCs/>
          <w:color w:val="000000"/>
          <w:sz w:val="22"/>
          <w:szCs w:val="22"/>
        </w:rPr>
        <w:t xml:space="preserve">  There are a number of initiatives in hand to bring this back on target, such as bringing </w:t>
      </w:r>
      <w:r w:rsidR="00AA502C">
        <w:rPr>
          <w:rFonts w:ascii="Arial" w:hAnsi="Arial" w:cs="Arial"/>
          <w:bCs/>
          <w:color w:val="000000"/>
          <w:sz w:val="22"/>
          <w:szCs w:val="22"/>
        </w:rPr>
        <w:t>the resilience contract for overflow calls to the contact centre in h</w:t>
      </w:r>
      <w:r w:rsidR="00E326BA" w:rsidRPr="00396DD1">
        <w:rPr>
          <w:rFonts w:ascii="Arial" w:hAnsi="Arial" w:cs="Arial"/>
          <w:bCs/>
          <w:color w:val="000000"/>
          <w:sz w:val="22"/>
          <w:szCs w:val="22"/>
        </w:rPr>
        <w:t>ouse from 1</w:t>
      </w:r>
      <w:r w:rsidR="00E326BA" w:rsidRPr="00396DD1">
        <w:rPr>
          <w:rFonts w:ascii="Arial" w:hAnsi="Arial" w:cs="Arial"/>
          <w:bCs/>
          <w:color w:val="000000"/>
          <w:sz w:val="22"/>
          <w:szCs w:val="22"/>
          <w:vertAlign w:val="superscript"/>
        </w:rPr>
        <w:t>st</w:t>
      </w:r>
      <w:r w:rsidR="00E326BA" w:rsidRPr="00396DD1">
        <w:rPr>
          <w:rFonts w:ascii="Arial" w:hAnsi="Arial" w:cs="Arial"/>
          <w:bCs/>
          <w:color w:val="000000"/>
          <w:sz w:val="22"/>
          <w:szCs w:val="22"/>
        </w:rPr>
        <w:t xml:space="preserve"> February, increasing the number of CSOs that can work from home and asking part time staff if they would be willing to work additional hours.</w:t>
      </w:r>
    </w:p>
    <w:p w:rsidR="00E326BA" w:rsidRPr="00396DD1" w:rsidRDefault="00E326BA" w:rsidP="00EB2D70">
      <w:pPr>
        <w:widowControl w:val="0"/>
        <w:autoSpaceDE w:val="0"/>
        <w:autoSpaceDN w:val="0"/>
        <w:adjustRightInd w:val="0"/>
        <w:ind w:left="720" w:hanging="436"/>
        <w:rPr>
          <w:rFonts w:ascii="Arial" w:hAnsi="Arial" w:cs="Arial"/>
          <w:bCs/>
          <w:color w:val="000000"/>
          <w:sz w:val="22"/>
          <w:szCs w:val="22"/>
        </w:rPr>
      </w:pPr>
    </w:p>
    <w:p w:rsidR="00EB2D70" w:rsidRPr="00396DD1" w:rsidRDefault="00E326BA" w:rsidP="00EB2D70">
      <w:pPr>
        <w:widowControl w:val="0"/>
        <w:autoSpaceDE w:val="0"/>
        <w:autoSpaceDN w:val="0"/>
        <w:adjustRightInd w:val="0"/>
        <w:ind w:left="720" w:hanging="436"/>
        <w:rPr>
          <w:rFonts w:ascii="Arial" w:hAnsi="Arial" w:cs="Arial"/>
          <w:bCs/>
          <w:color w:val="000000"/>
          <w:sz w:val="22"/>
          <w:szCs w:val="22"/>
        </w:rPr>
      </w:pPr>
      <w:r w:rsidRPr="00396DD1">
        <w:rPr>
          <w:rFonts w:ascii="Arial" w:hAnsi="Arial" w:cs="Arial"/>
          <w:bCs/>
          <w:color w:val="000000"/>
          <w:sz w:val="22"/>
          <w:szCs w:val="22"/>
        </w:rPr>
        <w:t>3.9</w:t>
      </w:r>
      <w:r w:rsidRPr="00396DD1">
        <w:rPr>
          <w:rFonts w:ascii="Arial" w:hAnsi="Arial" w:cs="Arial"/>
          <w:bCs/>
          <w:color w:val="000000"/>
          <w:sz w:val="22"/>
          <w:szCs w:val="22"/>
        </w:rPr>
        <w:tab/>
        <w:t>Level of efficiency savings through process improvements – Performance at December 2015 stood at £102,063 against a target of £154,000.  Current efficiencies identified (to be achieved this financial year and 2016/17)</w:t>
      </w:r>
      <w:r w:rsidR="00EB2D70" w:rsidRPr="00396DD1">
        <w:rPr>
          <w:rFonts w:ascii="Arial" w:hAnsi="Arial" w:cs="Arial"/>
          <w:bCs/>
          <w:color w:val="000000"/>
          <w:sz w:val="22"/>
          <w:szCs w:val="22"/>
        </w:rPr>
        <w:tab/>
      </w:r>
      <w:r w:rsidRPr="00396DD1">
        <w:rPr>
          <w:rFonts w:ascii="Arial" w:hAnsi="Arial" w:cs="Arial"/>
          <w:bCs/>
          <w:color w:val="000000"/>
          <w:sz w:val="22"/>
          <w:szCs w:val="22"/>
        </w:rPr>
        <w:t>stands at £297,119.  This excludes efficiencies achieved through Admin Review and significant cost avoidance identified through implementation of the new Fraud Detection system.</w:t>
      </w:r>
    </w:p>
    <w:p w:rsidR="0043556D" w:rsidRPr="00ED43FB" w:rsidRDefault="0043556D" w:rsidP="0043556D">
      <w:pPr>
        <w:ind w:left="720"/>
        <w:rPr>
          <w:rFonts w:ascii="Arial" w:hAnsi="Arial" w:cs="Arial"/>
          <w:bCs/>
          <w:sz w:val="22"/>
          <w:szCs w:val="22"/>
        </w:rPr>
      </w:pPr>
    </w:p>
    <w:p w:rsidR="0043556D" w:rsidRPr="00F310D2" w:rsidRDefault="0043556D" w:rsidP="0043556D">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4.</w:t>
      </w:r>
      <w:r w:rsidRPr="00F310D2">
        <w:rPr>
          <w:rFonts w:ascii="Arial" w:hAnsi="Arial" w:cs="Arial"/>
          <w:b/>
          <w:bCs/>
          <w:color w:val="000000"/>
          <w:sz w:val="22"/>
          <w:szCs w:val="22"/>
        </w:rPr>
        <w:tab/>
      </w:r>
      <w:r w:rsidRPr="00F310D2">
        <w:rPr>
          <w:rFonts w:ascii="Arial" w:hAnsi="Arial" w:cs="Arial"/>
          <w:b/>
          <w:bCs/>
          <w:color w:val="000000"/>
          <w:sz w:val="22"/>
          <w:szCs w:val="22"/>
          <w:u w:val="single"/>
        </w:rPr>
        <w:t>Risk Performance- Exceptions</w:t>
      </w:r>
    </w:p>
    <w:p w:rsidR="0037371F" w:rsidRPr="0037371F" w:rsidRDefault="0037371F" w:rsidP="0037371F">
      <w:pPr>
        <w:widowControl w:val="0"/>
        <w:autoSpaceDE w:val="0"/>
        <w:autoSpaceDN w:val="0"/>
        <w:adjustRightInd w:val="0"/>
        <w:ind w:left="709" w:hanging="425"/>
        <w:rPr>
          <w:rFonts w:ascii="Arial" w:hAnsi="Arial" w:cs="Arial"/>
          <w:bCs/>
          <w:color w:val="000000"/>
          <w:sz w:val="22"/>
          <w:szCs w:val="22"/>
        </w:rPr>
      </w:pPr>
      <w:r w:rsidRPr="0037371F">
        <w:rPr>
          <w:rFonts w:ascii="Arial" w:hAnsi="Arial" w:cs="Arial"/>
          <w:bCs/>
          <w:color w:val="000000"/>
          <w:sz w:val="22"/>
          <w:szCs w:val="22"/>
        </w:rPr>
        <w:t>4.1</w:t>
      </w:r>
      <w:r w:rsidRPr="0037371F">
        <w:rPr>
          <w:rFonts w:ascii="Arial" w:hAnsi="Arial" w:cs="Arial"/>
          <w:bCs/>
          <w:color w:val="000000"/>
          <w:sz w:val="22"/>
          <w:szCs w:val="22"/>
        </w:rPr>
        <w:tab/>
        <w:t xml:space="preserve">There are no red risks in </w:t>
      </w:r>
      <w:r w:rsidR="00F30F40">
        <w:rPr>
          <w:rFonts w:ascii="Arial" w:hAnsi="Arial" w:cs="Arial"/>
          <w:bCs/>
          <w:color w:val="000000"/>
          <w:sz w:val="22"/>
          <w:szCs w:val="22"/>
        </w:rPr>
        <w:t>the Directorate but there are 5</w:t>
      </w:r>
      <w:r w:rsidRPr="0037371F">
        <w:rPr>
          <w:rFonts w:ascii="Arial" w:hAnsi="Arial" w:cs="Arial"/>
          <w:bCs/>
          <w:color w:val="000000"/>
          <w:sz w:val="22"/>
          <w:szCs w:val="22"/>
        </w:rPr>
        <w:t xml:space="preserve"> amber risks detailed below. All these risks are currently being managed as part of day to day business activity and are not currently expected to rise to a level of red risk.</w:t>
      </w:r>
    </w:p>
    <w:p w:rsidR="0037371F" w:rsidRPr="0037371F" w:rsidRDefault="0037371F" w:rsidP="0037371F">
      <w:pPr>
        <w:widowControl w:val="0"/>
        <w:autoSpaceDE w:val="0"/>
        <w:autoSpaceDN w:val="0"/>
        <w:adjustRightInd w:val="0"/>
        <w:ind w:left="709" w:hanging="425"/>
        <w:rPr>
          <w:rFonts w:ascii="Arial" w:hAnsi="Arial" w:cs="Arial"/>
          <w:bCs/>
          <w:color w:val="000000"/>
          <w:sz w:val="22"/>
          <w:szCs w:val="22"/>
        </w:rPr>
      </w:pPr>
    </w:p>
    <w:p w:rsidR="0037371F" w:rsidRPr="00F30F40" w:rsidRDefault="0037371F" w:rsidP="0037371F">
      <w:pPr>
        <w:widowControl w:val="0"/>
        <w:autoSpaceDE w:val="0"/>
        <w:autoSpaceDN w:val="0"/>
        <w:adjustRightInd w:val="0"/>
        <w:ind w:left="720" w:hanging="11"/>
        <w:rPr>
          <w:rFonts w:ascii="Arial" w:hAnsi="Arial" w:cs="Arial"/>
          <w:b/>
          <w:bCs/>
          <w:color w:val="000000"/>
          <w:sz w:val="22"/>
          <w:szCs w:val="22"/>
        </w:rPr>
      </w:pPr>
      <w:r w:rsidRPr="00F30F40">
        <w:rPr>
          <w:rFonts w:ascii="Arial" w:hAnsi="Arial" w:cs="Arial"/>
          <w:b/>
          <w:bCs/>
          <w:color w:val="000000"/>
          <w:sz w:val="22"/>
          <w:szCs w:val="22"/>
        </w:rPr>
        <w:t>Business Improvement</w:t>
      </w:r>
    </w:p>
    <w:p w:rsidR="0037371F" w:rsidRPr="00F30F40" w:rsidRDefault="0037371F" w:rsidP="0037371F">
      <w:pPr>
        <w:widowControl w:val="0"/>
        <w:autoSpaceDE w:val="0"/>
        <w:autoSpaceDN w:val="0"/>
        <w:adjustRightInd w:val="0"/>
        <w:ind w:left="720" w:hanging="436"/>
        <w:rPr>
          <w:rFonts w:ascii="Arial" w:hAnsi="Arial" w:cs="Arial"/>
          <w:bCs/>
          <w:color w:val="000000"/>
          <w:sz w:val="22"/>
          <w:szCs w:val="22"/>
        </w:rPr>
      </w:pPr>
      <w:r w:rsidRPr="00F30F40">
        <w:rPr>
          <w:rFonts w:ascii="Arial" w:hAnsi="Arial" w:cs="Arial"/>
          <w:bCs/>
          <w:color w:val="000000"/>
          <w:sz w:val="22"/>
          <w:szCs w:val="22"/>
        </w:rPr>
        <w:lastRenderedPageBreak/>
        <w:t>4.2</w:t>
      </w:r>
      <w:r w:rsidRPr="00F30F40">
        <w:rPr>
          <w:rFonts w:ascii="Arial" w:hAnsi="Arial" w:cs="Arial"/>
          <w:bCs/>
          <w:color w:val="000000"/>
          <w:sz w:val="22"/>
          <w:szCs w:val="22"/>
        </w:rPr>
        <w:tab/>
      </w:r>
      <w:r w:rsidR="00F30F40" w:rsidRPr="00F30F40">
        <w:rPr>
          <w:rFonts w:ascii="Arial" w:hAnsi="Arial" w:cs="Arial"/>
          <w:bCs/>
          <w:color w:val="000000"/>
          <w:sz w:val="22"/>
          <w:szCs w:val="22"/>
        </w:rPr>
        <w:t>Two amber risks have been identified in this area relating to the volume of ICT projects and not achieving savings targets.</w:t>
      </w:r>
    </w:p>
    <w:p w:rsidR="0037371F" w:rsidRPr="00F30F40" w:rsidRDefault="0037371F" w:rsidP="0037371F">
      <w:pPr>
        <w:widowControl w:val="0"/>
        <w:autoSpaceDE w:val="0"/>
        <w:autoSpaceDN w:val="0"/>
        <w:adjustRightInd w:val="0"/>
        <w:ind w:left="720" w:hanging="11"/>
        <w:rPr>
          <w:rFonts w:ascii="Arial" w:hAnsi="Arial" w:cs="Arial"/>
          <w:bCs/>
          <w:color w:val="000000"/>
          <w:sz w:val="22"/>
          <w:szCs w:val="22"/>
        </w:rPr>
      </w:pPr>
    </w:p>
    <w:p w:rsidR="00F30F40" w:rsidRPr="00F30F40" w:rsidRDefault="00F30F40" w:rsidP="00F30F40">
      <w:pPr>
        <w:widowControl w:val="0"/>
        <w:autoSpaceDE w:val="0"/>
        <w:autoSpaceDN w:val="0"/>
        <w:adjustRightInd w:val="0"/>
        <w:ind w:left="720" w:hanging="11"/>
        <w:rPr>
          <w:rFonts w:ascii="Arial" w:hAnsi="Arial" w:cs="Arial"/>
          <w:b/>
          <w:bCs/>
          <w:color w:val="000000"/>
          <w:sz w:val="22"/>
          <w:szCs w:val="22"/>
        </w:rPr>
      </w:pPr>
      <w:r w:rsidRPr="00F30F40">
        <w:rPr>
          <w:rFonts w:ascii="Arial" w:hAnsi="Arial" w:cs="Arial"/>
          <w:b/>
          <w:bCs/>
          <w:color w:val="000000"/>
          <w:sz w:val="22"/>
          <w:szCs w:val="22"/>
        </w:rPr>
        <w:t>Law and Governance</w:t>
      </w:r>
    </w:p>
    <w:p w:rsidR="00F30F40" w:rsidRPr="00F30F40" w:rsidRDefault="00F30F40" w:rsidP="00F30F40">
      <w:pPr>
        <w:widowControl w:val="0"/>
        <w:autoSpaceDE w:val="0"/>
        <w:autoSpaceDN w:val="0"/>
        <w:adjustRightInd w:val="0"/>
        <w:ind w:left="720" w:hanging="436"/>
        <w:rPr>
          <w:rFonts w:ascii="Arial" w:hAnsi="Arial" w:cs="Arial"/>
          <w:bCs/>
          <w:color w:val="000000"/>
          <w:sz w:val="22"/>
          <w:szCs w:val="22"/>
        </w:rPr>
      </w:pPr>
      <w:r w:rsidRPr="00F30F40">
        <w:rPr>
          <w:rFonts w:ascii="Arial" w:hAnsi="Arial" w:cs="Arial"/>
          <w:bCs/>
          <w:color w:val="000000"/>
          <w:sz w:val="22"/>
          <w:szCs w:val="22"/>
        </w:rPr>
        <w:t>4.3</w:t>
      </w:r>
      <w:r w:rsidRPr="00F30F40">
        <w:rPr>
          <w:rFonts w:ascii="Arial" w:hAnsi="Arial" w:cs="Arial"/>
          <w:bCs/>
          <w:color w:val="000000"/>
          <w:sz w:val="22"/>
          <w:szCs w:val="22"/>
        </w:rPr>
        <w:tab/>
        <w:t>One amber risk identified in this area relates to ensuring ICT support is sufficient.</w:t>
      </w:r>
    </w:p>
    <w:p w:rsidR="00F30F40" w:rsidRPr="00F30F40" w:rsidRDefault="00F30F40" w:rsidP="00F30F40">
      <w:pPr>
        <w:widowControl w:val="0"/>
        <w:autoSpaceDE w:val="0"/>
        <w:autoSpaceDN w:val="0"/>
        <w:adjustRightInd w:val="0"/>
        <w:ind w:left="709" w:hanging="425"/>
        <w:rPr>
          <w:rFonts w:ascii="Arial" w:hAnsi="Arial" w:cs="Arial"/>
          <w:bCs/>
          <w:color w:val="000000"/>
          <w:sz w:val="22"/>
          <w:szCs w:val="22"/>
        </w:rPr>
      </w:pPr>
    </w:p>
    <w:p w:rsidR="00F30F40" w:rsidRPr="00F30F40" w:rsidRDefault="00F30F40" w:rsidP="00F30F40">
      <w:pPr>
        <w:widowControl w:val="0"/>
        <w:autoSpaceDE w:val="0"/>
        <w:autoSpaceDN w:val="0"/>
        <w:adjustRightInd w:val="0"/>
        <w:ind w:left="720" w:hanging="11"/>
        <w:rPr>
          <w:rFonts w:ascii="Arial" w:hAnsi="Arial" w:cs="Arial"/>
          <w:b/>
          <w:bCs/>
          <w:color w:val="000000"/>
          <w:sz w:val="22"/>
          <w:szCs w:val="22"/>
        </w:rPr>
      </w:pPr>
      <w:r w:rsidRPr="00F30F40">
        <w:rPr>
          <w:rFonts w:ascii="Arial" w:hAnsi="Arial" w:cs="Arial"/>
          <w:b/>
          <w:bCs/>
          <w:color w:val="000000"/>
          <w:sz w:val="22"/>
          <w:szCs w:val="22"/>
        </w:rPr>
        <w:t>Financial Services</w:t>
      </w:r>
    </w:p>
    <w:p w:rsidR="00F30F40" w:rsidRPr="00F30F40" w:rsidRDefault="00F30F40" w:rsidP="00F30F40">
      <w:pPr>
        <w:widowControl w:val="0"/>
        <w:autoSpaceDE w:val="0"/>
        <w:autoSpaceDN w:val="0"/>
        <w:adjustRightInd w:val="0"/>
        <w:ind w:left="720" w:hanging="436"/>
        <w:rPr>
          <w:rFonts w:ascii="Arial" w:hAnsi="Arial" w:cs="Arial"/>
          <w:bCs/>
          <w:color w:val="000000"/>
          <w:sz w:val="22"/>
          <w:szCs w:val="22"/>
        </w:rPr>
      </w:pPr>
      <w:r w:rsidRPr="00F30F40">
        <w:rPr>
          <w:rFonts w:ascii="Arial" w:hAnsi="Arial" w:cs="Arial"/>
          <w:bCs/>
          <w:color w:val="000000"/>
          <w:sz w:val="22"/>
          <w:szCs w:val="22"/>
        </w:rPr>
        <w:t>4.4</w:t>
      </w:r>
      <w:r w:rsidRPr="00F30F40">
        <w:rPr>
          <w:rFonts w:ascii="Arial" w:hAnsi="Arial" w:cs="Arial"/>
          <w:bCs/>
          <w:color w:val="000000"/>
          <w:sz w:val="22"/>
          <w:szCs w:val="22"/>
        </w:rPr>
        <w:tab/>
        <w:t>Two amber risks have been identified in this area relating to failure to recruit and retain key staff, and failure to deliver an efficient and timely year end process for annual Council Tax and NDR bills, Rents, Garage and leaseholder statements.</w:t>
      </w:r>
    </w:p>
    <w:p w:rsidR="00D014D9" w:rsidRPr="00F30F40" w:rsidRDefault="00D014D9" w:rsidP="0043556D">
      <w:pPr>
        <w:rPr>
          <w:rFonts w:ascii="Arial" w:hAnsi="Arial" w:cs="Arial"/>
          <w:sz w:val="22"/>
          <w:szCs w:val="22"/>
        </w:rPr>
      </w:pPr>
    </w:p>
    <w:sectPr w:rsidR="00D014D9" w:rsidRPr="00F30F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2070B"/>
    <w:multiLevelType w:val="multilevel"/>
    <w:tmpl w:val="C226C81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D9"/>
    <w:rsid w:val="000169E7"/>
    <w:rsid w:val="000B6A0D"/>
    <w:rsid w:val="000C4224"/>
    <w:rsid w:val="001358A6"/>
    <w:rsid w:val="001F4FD9"/>
    <w:rsid w:val="00243D1B"/>
    <w:rsid w:val="00247CBA"/>
    <w:rsid w:val="003530BA"/>
    <w:rsid w:val="0037371F"/>
    <w:rsid w:val="003847B9"/>
    <w:rsid w:val="00396DD1"/>
    <w:rsid w:val="003D4077"/>
    <w:rsid w:val="003E681A"/>
    <w:rsid w:val="004148B8"/>
    <w:rsid w:val="0043556D"/>
    <w:rsid w:val="00504BFA"/>
    <w:rsid w:val="00531CA4"/>
    <w:rsid w:val="005873F0"/>
    <w:rsid w:val="005944E5"/>
    <w:rsid w:val="00650E9A"/>
    <w:rsid w:val="00694372"/>
    <w:rsid w:val="0074194F"/>
    <w:rsid w:val="00784F77"/>
    <w:rsid w:val="00793419"/>
    <w:rsid w:val="007B3D18"/>
    <w:rsid w:val="00800D34"/>
    <w:rsid w:val="0082073F"/>
    <w:rsid w:val="0086790F"/>
    <w:rsid w:val="008A735F"/>
    <w:rsid w:val="008E41CF"/>
    <w:rsid w:val="009C116F"/>
    <w:rsid w:val="009F202E"/>
    <w:rsid w:val="00A330AA"/>
    <w:rsid w:val="00A609C8"/>
    <w:rsid w:val="00A6362F"/>
    <w:rsid w:val="00A904F2"/>
    <w:rsid w:val="00AA4B23"/>
    <w:rsid w:val="00AA502C"/>
    <w:rsid w:val="00B72B8D"/>
    <w:rsid w:val="00BA5F49"/>
    <w:rsid w:val="00C169DA"/>
    <w:rsid w:val="00C403E9"/>
    <w:rsid w:val="00C51DCE"/>
    <w:rsid w:val="00C77607"/>
    <w:rsid w:val="00CE2317"/>
    <w:rsid w:val="00CE5763"/>
    <w:rsid w:val="00CF2161"/>
    <w:rsid w:val="00D014D9"/>
    <w:rsid w:val="00D13B5E"/>
    <w:rsid w:val="00E326BA"/>
    <w:rsid w:val="00E978FE"/>
    <w:rsid w:val="00EA40C3"/>
    <w:rsid w:val="00EB2D70"/>
    <w:rsid w:val="00ED43FB"/>
    <w:rsid w:val="00ED734E"/>
    <w:rsid w:val="00EE5028"/>
    <w:rsid w:val="00F30F40"/>
    <w:rsid w:val="00F310D2"/>
    <w:rsid w:val="00F5479F"/>
    <w:rsid w:val="00FC3179"/>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B8"/>
    <w:pPr>
      <w:ind w:left="720"/>
    </w:pPr>
  </w:style>
  <w:style w:type="paragraph" w:styleId="BalloonText">
    <w:name w:val="Balloon Text"/>
    <w:basedOn w:val="Normal"/>
    <w:link w:val="BalloonTextChar"/>
    <w:uiPriority w:val="99"/>
    <w:semiHidden/>
    <w:unhideWhenUsed/>
    <w:rsid w:val="00784F77"/>
    <w:rPr>
      <w:rFonts w:ascii="Tahoma" w:hAnsi="Tahoma" w:cs="Tahoma"/>
      <w:sz w:val="16"/>
      <w:szCs w:val="16"/>
    </w:rPr>
  </w:style>
  <w:style w:type="character" w:customStyle="1" w:styleId="BalloonTextChar">
    <w:name w:val="Balloon Text Char"/>
    <w:basedOn w:val="DefaultParagraphFont"/>
    <w:link w:val="BalloonText"/>
    <w:uiPriority w:val="99"/>
    <w:semiHidden/>
    <w:rsid w:val="00784F77"/>
    <w:rPr>
      <w:rFonts w:ascii="Tahoma" w:hAnsi="Tahoma" w:cs="Tahoma"/>
      <w:sz w:val="16"/>
      <w:szCs w:val="16"/>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Revision">
    <w:name w:val="Revision"/>
    <w:hidden/>
    <w:uiPriority w:val="99"/>
    <w:semiHidden/>
    <w:rsid w:val="009F202E"/>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B8"/>
    <w:pPr>
      <w:ind w:left="720"/>
    </w:pPr>
  </w:style>
  <w:style w:type="paragraph" w:styleId="BalloonText">
    <w:name w:val="Balloon Text"/>
    <w:basedOn w:val="Normal"/>
    <w:link w:val="BalloonTextChar"/>
    <w:uiPriority w:val="99"/>
    <w:semiHidden/>
    <w:unhideWhenUsed/>
    <w:rsid w:val="00784F77"/>
    <w:rPr>
      <w:rFonts w:ascii="Tahoma" w:hAnsi="Tahoma" w:cs="Tahoma"/>
      <w:sz w:val="16"/>
      <w:szCs w:val="16"/>
    </w:rPr>
  </w:style>
  <w:style w:type="character" w:customStyle="1" w:styleId="BalloonTextChar">
    <w:name w:val="Balloon Text Char"/>
    <w:basedOn w:val="DefaultParagraphFont"/>
    <w:link w:val="BalloonText"/>
    <w:uiPriority w:val="99"/>
    <w:semiHidden/>
    <w:rsid w:val="00784F77"/>
    <w:rPr>
      <w:rFonts w:ascii="Tahoma" w:hAnsi="Tahoma" w:cs="Tahoma"/>
      <w:sz w:val="16"/>
      <w:szCs w:val="16"/>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Revision">
    <w:name w:val="Revision"/>
    <w:hidden/>
    <w:uiPriority w:val="99"/>
    <w:semiHidden/>
    <w:rsid w:val="009F202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8065">
      <w:bodyDiv w:val="1"/>
      <w:marLeft w:val="0"/>
      <w:marRight w:val="0"/>
      <w:marTop w:val="0"/>
      <w:marBottom w:val="0"/>
      <w:divBdr>
        <w:top w:val="none" w:sz="0" w:space="0" w:color="auto"/>
        <w:left w:val="none" w:sz="0" w:space="0" w:color="auto"/>
        <w:bottom w:val="none" w:sz="0" w:space="0" w:color="auto"/>
        <w:right w:val="none" w:sz="0" w:space="0" w:color="auto"/>
      </w:divBdr>
    </w:div>
    <w:div w:id="203952621">
      <w:bodyDiv w:val="1"/>
      <w:marLeft w:val="0"/>
      <w:marRight w:val="0"/>
      <w:marTop w:val="0"/>
      <w:marBottom w:val="0"/>
      <w:divBdr>
        <w:top w:val="none" w:sz="0" w:space="0" w:color="auto"/>
        <w:left w:val="none" w:sz="0" w:space="0" w:color="auto"/>
        <w:bottom w:val="none" w:sz="0" w:space="0" w:color="auto"/>
        <w:right w:val="none" w:sz="0" w:space="0" w:color="auto"/>
      </w:divBdr>
    </w:div>
    <w:div w:id="516236773">
      <w:bodyDiv w:val="1"/>
      <w:marLeft w:val="0"/>
      <w:marRight w:val="0"/>
      <w:marTop w:val="0"/>
      <w:marBottom w:val="0"/>
      <w:divBdr>
        <w:top w:val="none" w:sz="0" w:space="0" w:color="auto"/>
        <w:left w:val="none" w:sz="0" w:space="0" w:color="auto"/>
        <w:bottom w:val="none" w:sz="0" w:space="0" w:color="auto"/>
        <w:right w:val="none" w:sz="0" w:space="0" w:color="auto"/>
      </w:divBdr>
    </w:div>
    <w:div w:id="856772220">
      <w:bodyDiv w:val="1"/>
      <w:marLeft w:val="0"/>
      <w:marRight w:val="0"/>
      <w:marTop w:val="0"/>
      <w:marBottom w:val="0"/>
      <w:divBdr>
        <w:top w:val="none" w:sz="0" w:space="0" w:color="auto"/>
        <w:left w:val="none" w:sz="0" w:space="0" w:color="auto"/>
        <w:bottom w:val="none" w:sz="0" w:space="0" w:color="auto"/>
        <w:right w:val="none" w:sz="0" w:space="0" w:color="auto"/>
      </w:divBdr>
    </w:div>
    <w:div w:id="936257875">
      <w:bodyDiv w:val="1"/>
      <w:marLeft w:val="0"/>
      <w:marRight w:val="0"/>
      <w:marTop w:val="0"/>
      <w:marBottom w:val="0"/>
      <w:divBdr>
        <w:top w:val="none" w:sz="0" w:space="0" w:color="auto"/>
        <w:left w:val="none" w:sz="0" w:space="0" w:color="auto"/>
        <w:bottom w:val="none" w:sz="0" w:space="0" w:color="auto"/>
        <w:right w:val="none" w:sz="0" w:space="0" w:color="auto"/>
      </w:divBdr>
    </w:div>
    <w:div w:id="17490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2A45-F37C-4CE5-8D59-FD947DD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C807C6FF</Template>
  <TotalTime>13</TotalTime>
  <Pages>6</Pages>
  <Words>1317</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AppV Sequencer Account</cp:lastModifiedBy>
  <cp:revision>3</cp:revision>
  <dcterms:created xsi:type="dcterms:W3CDTF">2016-02-19T16:21:00Z</dcterms:created>
  <dcterms:modified xsi:type="dcterms:W3CDTF">2016-02-23T09:59:00Z</dcterms:modified>
</cp:coreProperties>
</file>